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6E8CD7A0"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R2-2</w:t>
      </w:r>
      <w:r w:rsidR="00911F55">
        <w:rPr>
          <w:bCs/>
          <w:noProof w:val="0"/>
          <w:sz w:val="24"/>
          <w:szCs w:val="24"/>
        </w:rPr>
        <w:t>5</w:t>
      </w:r>
      <w:r w:rsidRPr="005A5862">
        <w:rPr>
          <w:bCs/>
          <w:noProof w:val="0"/>
          <w:sz w:val="24"/>
          <w:szCs w:val="24"/>
        </w:rPr>
        <w:t>0</w:t>
      </w:r>
      <w:r w:rsidR="005A5991">
        <w:rPr>
          <w:bCs/>
          <w:noProof w:val="0"/>
          <w:sz w:val="24"/>
          <w:szCs w:val="24"/>
        </w:rPr>
        <w:t>0797</w:t>
      </w:r>
    </w:p>
    <w:p w14:paraId="3723E1D3" w14:textId="6E25D299" w:rsidR="005432D9" w:rsidRPr="005A5862" w:rsidRDefault="00911F55" w:rsidP="00541A65">
      <w:pPr>
        <w:pStyle w:val="Header"/>
        <w:tabs>
          <w:tab w:val="right" w:pos="9641"/>
        </w:tabs>
        <w:rPr>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1B8A59A5" w:rsidR="008B549E" w:rsidRPr="00272386" w:rsidRDefault="008B549E" w:rsidP="008B549E">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272386">
        <w:rPr>
          <w:rFonts w:eastAsia="SimSun" w:cs="Arial" w:hint="eastAsia"/>
          <w:b/>
          <w:bCs/>
          <w:sz w:val="24"/>
          <w:lang w:eastAsia="zh-CN"/>
        </w:rPr>
        <w:t>8</w:t>
      </w:r>
      <w:r>
        <w:rPr>
          <w:rFonts w:cs="Arial"/>
          <w:b/>
          <w:bCs/>
          <w:sz w:val="24"/>
          <w:lang w:eastAsia="ja-JP"/>
        </w:rPr>
        <w:t>.</w:t>
      </w:r>
      <w:r w:rsidR="00272386">
        <w:rPr>
          <w:rFonts w:eastAsia="SimSun" w:cs="Arial" w:hint="eastAsia"/>
          <w:b/>
          <w:bCs/>
          <w:sz w:val="24"/>
          <w:lang w:eastAsia="zh-CN"/>
        </w:rPr>
        <w:t>9</w:t>
      </w:r>
      <w:r>
        <w:rPr>
          <w:rFonts w:cs="Arial"/>
          <w:b/>
          <w:bCs/>
          <w:sz w:val="24"/>
          <w:lang w:eastAsia="ja-JP"/>
        </w:rPr>
        <w:t>.</w:t>
      </w:r>
      <w:r w:rsidR="00272386">
        <w:rPr>
          <w:rFonts w:eastAsia="SimSun" w:cs="Arial" w:hint="eastAsia"/>
          <w:b/>
          <w:bCs/>
          <w:sz w:val="24"/>
          <w:lang w:eastAsia="zh-CN"/>
        </w:rPr>
        <w:t>4</w:t>
      </w:r>
    </w:p>
    <w:p w14:paraId="0EC781B3" w14:textId="0E4EED7A"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72386" w:rsidRPr="006B46D8">
        <w:rPr>
          <w:rFonts w:ascii="Arial" w:hAnsi="Arial" w:cs="Arial"/>
          <w:b/>
          <w:bCs/>
          <w:sz w:val="24"/>
          <w:lang w:val="en-US"/>
        </w:rPr>
        <w:t>Nokia, Nokia Shanghai Bell</w:t>
      </w:r>
    </w:p>
    <w:p w14:paraId="280945C8" w14:textId="4CF23CDB" w:rsidR="001B397D"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397D" w:rsidRPr="001B397D">
        <w:rPr>
          <w:rFonts w:ascii="Arial" w:hAnsi="Arial" w:cs="Arial"/>
          <w:b/>
          <w:bCs/>
          <w:sz w:val="24"/>
        </w:rPr>
        <w:t>On PWS support for NB-IoT NTN</w:t>
      </w:r>
    </w:p>
    <w:p w14:paraId="7D015DD9" w14:textId="2091374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2386" w:rsidRPr="006B46D8">
        <w:rPr>
          <w:rFonts w:ascii="Arial" w:hAnsi="Arial" w:cs="Arial"/>
          <w:b/>
          <w:bCs/>
          <w:sz w:val="24"/>
          <w:lang w:val="en-US"/>
        </w:rPr>
        <w:t>IoT_NTN_Ph3-Core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51D20E" w14:textId="77777777" w:rsidR="00AA5F08" w:rsidRPr="00B97477" w:rsidRDefault="00AA5F08" w:rsidP="00AA5F08">
      <w:pPr>
        <w:rPr>
          <w:lang w:val="en-US" w:eastAsia="zh-CN"/>
        </w:rPr>
      </w:pPr>
      <w:r w:rsidRPr="00B97477">
        <w:rPr>
          <w:lang w:val="en-US"/>
        </w:rPr>
        <w:t>The R19 WID</w:t>
      </w:r>
      <w:r>
        <w:rPr>
          <w:rFonts w:hint="eastAsia"/>
          <w:lang w:val="en-US" w:eastAsia="zh-CN"/>
        </w:rPr>
        <w:t xml:space="preserve"> </w:t>
      </w:r>
      <w:r w:rsidRPr="00B97477">
        <w:rPr>
          <w:lang w:val="en-US"/>
        </w:rPr>
        <w:t>[1]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In details, the support of PWS messages for NB-IoT is expected to reuse the LTE mechanism</w:t>
      </w:r>
      <w:r>
        <w:rPr>
          <w:lang w:val="en-US" w:eastAsia="zh-CN"/>
        </w:rPr>
        <w:t>s. Furthermore,</w:t>
      </w:r>
      <w:r>
        <w:rPr>
          <w:rFonts w:hint="eastAsia"/>
          <w:lang w:val="en-US" w:eastAsia="zh-CN"/>
        </w:rPr>
        <w:t xml:space="preserve"> the support of geo-fencing function for ETWS will be considered based on NR NTN outcome.</w:t>
      </w:r>
      <w:r w:rsidRPr="006B46D8">
        <w:rPr>
          <w:sz w:val="2"/>
          <w:szCs w:val="2"/>
          <w:lang w:val="en-US"/>
        </w:rPr>
        <w:t xml:space="preserve"> </w:t>
      </w:r>
    </w:p>
    <w:tbl>
      <w:tblPr>
        <w:tblStyle w:val="TableGrid"/>
        <w:tblW w:w="0" w:type="auto"/>
        <w:tblLook w:val="04A0" w:firstRow="1" w:lastRow="0" w:firstColumn="1" w:lastColumn="0" w:noHBand="0" w:noVBand="1"/>
      </w:tblPr>
      <w:tblGrid>
        <w:gridCol w:w="9631"/>
      </w:tblGrid>
      <w:tr w:rsidR="00AA5F08" w14:paraId="02026B6D" w14:textId="77777777" w:rsidTr="00FB3550">
        <w:tc>
          <w:tcPr>
            <w:tcW w:w="9631" w:type="dxa"/>
          </w:tcPr>
          <w:p w14:paraId="06F4403A" w14:textId="77777777" w:rsidR="00AA5F08" w:rsidRPr="00B97477" w:rsidRDefault="00AA5F08" w:rsidP="00FB3550">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63509C14" w14:textId="77777777" w:rsidR="00AA5F08" w:rsidRPr="00B97477" w:rsidRDefault="00AA5F08" w:rsidP="00FB355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26808F26" w14:textId="77777777" w:rsidR="00AA5F08" w:rsidRPr="00B97477" w:rsidRDefault="00AA5F08" w:rsidP="00FB3550">
            <w:pPr>
              <w:spacing w:after="0"/>
              <w:ind w:left="1080"/>
              <w:rPr>
                <w:bCs/>
              </w:rPr>
            </w:pPr>
            <w:r w:rsidRPr="00B97477">
              <w:rPr>
                <w:bCs/>
              </w:rPr>
              <w:t xml:space="preserve">  </w:t>
            </w:r>
          </w:p>
          <w:p w14:paraId="2D005D27" w14:textId="77777777" w:rsidR="00AA5F08" w:rsidRPr="00B97477" w:rsidRDefault="00AA5F08" w:rsidP="00FB355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31DFE84D" w14:textId="77777777" w:rsidR="00AA5F08" w:rsidRPr="00B97477" w:rsidRDefault="00AA5F08" w:rsidP="00AA5F08">
      <w:pPr>
        <w:rPr>
          <w:sz w:val="6"/>
          <w:szCs w:val="6"/>
          <w:lang w:val="en-US" w:eastAsia="zh-CN"/>
        </w:rPr>
      </w:pPr>
    </w:p>
    <w:p w14:paraId="75DF9230" w14:textId="1CC15812" w:rsidR="00AA5F08" w:rsidRDefault="00AA5F08" w:rsidP="00AA5F08">
      <w:pPr>
        <w:rPr>
          <w:lang w:val="en-US"/>
        </w:rPr>
      </w:pPr>
      <w:r>
        <w:rPr>
          <w:lang w:val="en-US"/>
        </w:rPr>
        <w:t>Following agreements have been reached in RAN2-127bis meeting</w:t>
      </w:r>
      <w:r>
        <w:rPr>
          <w:rFonts w:hint="eastAsia"/>
          <w:lang w:val="en-US" w:eastAsia="zh-CN"/>
        </w:rPr>
        <w:t xml:space="preserve"> and RAN2-128 meeting</w:t>
      </w:r>
      <w:r>
        <w:rPr>
          <w:lang w:val="en-US"/>
        </w:rPr>
        <w:t xml:space="preserve">. </w:t>
      </w:r>
    </w:p>
    <w:p w14:paraId="1CF81F78" w14:textId="72E984E9"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Pr>
          <w:rFonts w:hint="eastAsia"/>
          <w:szCs w:val="24"/>
          <w:lang w:eastAsia="zh-CN"/>
        </w:rPr>
        <w:t xml:space="preserve">RAN2-127bis </w:t>
      </w:r>
      <w:r w:rsidRPr="009913E7">
        <w:rPr>
          <w:rFonts w:eastAsia="MS Mincho"/>
          <w:szCs w:val="24"/>
          <w:lang w:eastAsia="en-GB"/>
        </w:rPr>
        <w:t>Agreements:</w:t>
      </w:r>
    </w:p>
    <w:p w14:paraId="75DC04F3"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14B6CDA0"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43FB239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1491B8C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SystemInformationBlockType10-NB for primary ETWS </w:t>
      </w:r>
      <w:proofErr w:type="gramStart"/>
      <w:r w:rsidRPr="009913E7">
        <w:rPr>
          <w:rFonts w:eastAsia="MS Mincho"/>
          <w:szCs w:val="24"/>
          <w:lang w:eastAsia="en-GB"/>
        </w:rPr>
        <w:t>notification;</w:t>
      </w:r>
      <w:proofErr w:type="gramEnd"/>
    </w:p>
    <w:p w14:paraId="356B022A"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SystemInformationBlockType11-NB for secondary ETWS </w:t>
      </w:r>
      <w:proofErr w:type="gramStart"/>
      <w:r w:rsidRPr="009913E7">
        <w:rPr>
          <w:rFonts w:eastAsia="MS Mincho"/>
          <w:szCs w:val="24"/>
          <w:lang w:eastAsia="en-GB"/>
        </w:rPr>
        <w:t>notification;</w:t>
      </w:r>
      <w:proofErr w:type="gramEnd"/>
    </w:p>
    <w:p w14:paraId="653EC47F"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340521AA"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43E95551"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etws</w:t>
      </w:r>
      <w:proofErr w:type="spellEnd"/>
      <w:r w:rsidRPr="009913E7">
        <w:rPr>
          <w:rFonts w:eastAsia="MS Mincho"/>
          <w:szCs w:val="24"/>
          <w:lang w:eastAsia="en-GB"/>
        </w:rPr>
        <w:t>-</w:t>
      </w:r>
      <w:proofErr w:type="gramStart"/>
      <w:r w:rsidRPr="009913E7">
        <w:rPr>
          <w:rFonts w:eastAsia="MS Mincho"/>
          <w:szCs w:val="24"/>
          <w:lang w:eastAsia="en-GB"/>
        </w:rPr>
        <w:t>Indication;</w:t>
      </w:r>
      <w:proofErr w:type="gramEnd"/>
    </w:p>
    <w:p w14:paraId="697AE71B"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cmas</w:t>
      </w:r>
      <w:proofErr w:type="spellEnd"/>
      <w:r w:rsidRPr="009913E7">
        <w:rPr>
          <w:rFonts w:eastAsia="MS Mincho"/>
          <w:szCs w:val="24"/>
          <w:lang w:eastAsia="en-GB"/>
        </w:rPr>
        <w:t>-Indication.</w:t>
      </w:r>
    </w:p>
    <w:p w14:paraId="2B00D91E"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5A96135D" w14:textId="77777777" w:rsidR="00AA5F08" w:rsidRPr="009913E7" w:rsidRDefault="00AA5F08" w:rsidP="00AA5F08">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6.</w:t>
      </w:r>
      <w:r w:rsidRPr="009913E7">
        <w:rPr>
          <w:rFonts w:eastAsia="MS Mincho"/>
          <w:szCs w:val="24"/>
          <w:lang w:eastAsia="en-GB"/>
        </w:rPr>
        <w:tab/>
        <w:t xml:space="preserve">Clarify in the spec (and at least in 36.300) that for NB-IoT the ETWS, CMAS, PWS requirement may not be met in some scenarios, e.g. when the UE is in </w:t>
      </w:r>
      <w:proofErr w:type="spellStart"/>
      <w:r w:rsidRPr="009913E7">
        <w:rPr>
          <w:rFonts w:eastAsia="MS Mincho"/>
          <w:szCs w:val="24"/>
          <w:lang w:eastAsia="en-GB"/>
        </w:rPr>
        <w:t>eDRX</w:t>
      </w:r>
      <w:proofErr w:type="spellEnd"/>
      <w:r w:rsidRPr="009913E7">
        <w:rPr>
          <w:rFonts w:eastAsia="MS Mincho"/>
          <w:szCs w:val="24"/>
          <w:lang w:eastAsia="en-GB"/>
        </w:rPr>
        <w:t xml:space="preserve"> (can come back to further clarify the specific cases)</w:t>
      </w:r>
    </w:p>
    <w:p w14:paraId="4A71AADB" w14:textId="77777777" w:rsidR="00AA5F08" w:rsidRPr="0083585C" w:rsidRDefault="00AA5F08" w:rsidP="00AA5F08">
      <w:pPr>
        <w:rPr>
          <w:sz w:val="2"/>
          <w:szCs w:val="2"/>
          <w:lang w:val="en-US"/>
        </w:rPr>
      </w:pPr>
    </w:p>
    <w:p w14:paraId="05B465C2" w14:textId="77777777" w:rsidR="00AA5F08" w:rsidRPr="00AA5F08" w:rsidRDefault="00AA5F08" w:rsidP="00AA5F08">
      <w:pPr>
        <w:rPr>
          <w:sz w:val="2"/>
          <w:szCs w:val="2"/>
          <w:lang w:val="en-US"/>
        </w:rPr>
      </w:pPr>
    </w:p>
    <w:tbl>
      <w:tblPr>
        <w:tblStyle w:val="TableGrid"/>
        <w:tblW w:w="0" w:type="auto"/>
        <w:tblLook w:val="04A0" w:firstRow="1" w:lastRow="0" w:firstColumn="1" w:lastColumn="0" w:noHBand="0" w:noVBand="1"/>
      </w:tblPr>
      <w:tblGrid>
        <w:gridCol w:w="9631"/>
      </w:tblGrid>
      <w:tr w:rsidR="00AA5F08" w14:paraId="3CD7D488" w14:textId="77777777" w:rsidTr="00FB3550">
        <w:tc>
          <w:tcPr>
            <w:tcW w:w="9631" w:type="dxa"/>
          </w:tcPr>
          <w:p w14:paraId="324E8F1D" w14:textId="2FBA0F12" w:rsidR="00AA5F08" w:rsidRPr="00AA5F08" w:rsidRDefault="00AA5F08" w:rsidP="00AA5F08">
            <w:pPr>
              <w:tabs>
                <w:tab w:val="left" w:pos="1622"/>
              </w:tabs>
              <w:spacing w:after="0"/>
              <w:ind w:left="363" w:hanging="363"/>
              <w:rPr>
                <w:szCs w:val="24"/>
                <w:lang w:eastAsia="zh-CN"/>
              </w:rPr>
            </w:pPr>
            <w:r w:rsidRPr="00AA5F08">
              <w:rPr>
                <w:szCs w:val="24"/>
                <w:lang w:eastAsia="zh-CN"/>
              </w:rPr>
              <w:t>RAN2-12</w:t>
            </w:r>
            <w:r w:rsidRPr="00AA5F08">
              <w:rPr>
                <w:rFonts w:hint="eastAsia"/>
                <w:szCs w:val="24"/>
                <w:lang w:eastAsia="zh-CN"/>
              </w:rPr>
              <w:t>8</w:t>
            </w:r>
            <w:r w:rsidRPr="00AA5F08">
              <w:rPr>
                <w:szCs w:val="24"/>
                <w:lang w:eastAsia="zh-CN"/>
              </w:rPr>
              <w:t xml:space="preserve"> Agreements:</w:t>
            </w:r>
          </w:p>
          <w:p w14:paraId="0AD519FD"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1.</w:t>
            </w:r>
            <w:r w:rsidRPr="00AA5F08">
              <w:rPr>
                <w:szCs w:val="24"/>
                <w:lang w:eastAsia="zh-CN"/>
              </w:rPr>
              <w:tab/>
              <w:t>We will clarify in 36.300 section 4.10 that in general a NB-IoT UE may not support all PWS requirements.</w:t>
            </w:r>
          </w:p>
          <w:p w14:paraId="2C52B935"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2.</w:t>
            </w:r>
            <w:r w:rsidRPr="00AA5F08">
              <w:rPr>
                <w:szCs w:val="24"/>
                <w:lang w:eastAsia="zh-CN"/>
              </w:rPr>
              <w:tab/>
              <w:t>We will extend the existing ETWS/CMAS notification RRC procedures for eMTC to NB-IoT. FFS if SIB1-NB acquisition is needed</w:t>
            </w:r>
          </w:p>
          <w:p w14:paraId="7C97E5DD"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3.</w:t>
            </w:r>
            <w:r w:rsidRPr="00AA5F08">
              <w:rPr>
                <w:szCs w:val="24"/>
                <w:lang w:eastAsia="zh-CN"/>
              </w:rPr>
              <w:tab/>
              <w:t>Add the following PWS indication in Paging-NB:</w:t>
            </w:r>
          </w:p>
          <w:p w14:paraId="6A5A57A7" w14:textId="77777777" w:rsidR="00AA5F08" w:rsidRPr="00AA5F08" w:rsidRDefault="00AA5F08" w:rsidP="00AA5F08">
            <w:pPr>
              <w:tabs>
                <w:tab w:val="left" w:pos="1622"/>
              </w:tabs>
              <w:spacing w:after="0"/>
              <w:ind w:left="363" w:hanging="363"/>
              <w:rPr>
                <w:szCs w:val="24"/>
                <w:lang w:eastAsia="zh-CN"/>
              </w:rPr>
            </w:pPr>
            <w:r w:rsidRPr="00AA5F08">
              <w:rPr>
                <w:szCs w:val="24"/>
                <w:lang w:eastAsia="zh-CN"/>
              </w:rPr>
              <w:tab/>
              <w:t xml:space="preserve">- </w:t>
            </w:r>
            <w:proofErr w:type="spellStart"/>
            <w:r w:rsidRPr="00AA5F08">
              <w:rPr>
                <w:szCs w:val="24"/>
                <w:lang w:eastAsia="zh-CN"/>
              </w:rPr>
              <w:t>etws</w:t>
            </w:r>
            <w:proofErr w:type="spellEnd"/>
            <w:r w:rsidRPr="00AA5F08">
              <w:rPr>
                <w:szCs w:val="24"/>
                <w:lang w:eastAsia="zh-CN"/>
              </w:rPr>
              <w:t>-</w:t>
            </w:r>
            <w:proofErr w:type="gramStart"/>
            <w:r w:rsidRPr="00AA5F08">
              <w:rPr>
                <w:szCs w:val="24"/>
                <w:lang w:eastAsia="zh-CN"/>
              </w:rPr>
              <w:t>Indication;</w:t>
            </w:r>
            <w:proofErr w:type="gramEnd"/>
          </w:p>
          <w:p w14:paraId="02A631F9" w14:textId="45A39E8F" w:rsidR="00AA5F08" w:rsidRPr="00AA5F08" w:rsidRDefault="00AA5F08" w:rsidP="00AA5F08">
            <w:pPr>
              <w:tabs>
                <w:tab w:val="left" w:pos="1622"/>
              </w:tabs>
              <w:spacing w:after="0"/>
              <w:ind w:left="363" w:hanging="363"/>
              <w:rPr>
                <w:lang w:eastAsia="zh-CN"/>
              </w:rPr>
            </w:pPr>
            <w:r w:rsidRPr="00AA5F08">
              <w:rPr>
                <w:szCs w:val="24"/>
                <w:lang w:eastAsia="zh-CN"/>
              </w:rPr>
              <w:tab/>
              <w:t xml:space="preserve">- </w:t>
            </w:r>
            <w:proofErr w:type="spellStart"/>
            <w:r w:rsidRPr="00AA5F08">
              <w:rPr>
                <w:szCs w:val="24"/>
                <w:lang w:eastAsia="zh-CN"/>
              </w:rPr>
              <w:t>cmas</w:t>
            </w:r>
            <w:proofErr w:type="spellEnd"/>
            <w:r w:rsidRPr="00AA5F08">
              <w:rPr>
                <w:szCs w:val="24"/>
                <w:lang w:eastAsia="zh-CN"/>
              </w:rPr>
              <w:t>-Indication.</w:t>
            </w:r>
          </w:p>
        </w:tc>
      </w:tr>
    </w:tbl>
    <w:p w14:paraId="3F012C4B" w14:textId="77777777" w:rsidR="00AA5F08" w:rsidRDefault="00AA5F08" w:rsidP="00AA5F08">
      <w:pPr>
        <w:rPr>
          <w:lang w:val="en-US"/>
        </w:rPr>
      </w:pPr>
    </w:p>
    <w:p w14:paraId="2B0CFD48" w14:textId="77777777" w:rsidR="00AA5F08" w:rsidRDefault="00AA5F08" w:rsidP="00AA5F08">
      <w:pPr>
        <w:rPr>
          <w:lang w:val="en-US"/>
        </w:rPr>
      </w:pPr>
      <w:r w:rsidRPr="006B46D8">
        <w:rPr>
          <w:lang w:val="en-US"/>
        </w:rPr>
        <w:t xml:space="preserve">In this contribution, we </w:t>
      </w:r>
      <w:r>
        <w:rPr>
          <w:lang w:val="en-US"/>
        </w:rPr>
        <w:t xml:space="preserve">elaborate more </w:t>
      </w:r>
      <w:r>
        <w:rPr>
          <w:rFonts w:hint="eastAsia"/>
          <w:lang w:val="en-US" w:eastAsia="zh-CN"/>
        </w:rPr>
        <w:t xml:space="preserve">on </w:t>
      </w:r>
      <w:r>
        <w:rPr>
          <w:lang w:val="en-US" w:eastAsia="zh-CN"/>
        </w:rPr>
        <w:t>remaining issues related to</w:t>
      </w:r>
      <w:r>
        <w:rPr>
          <w:rFonts w:hint="eastAsia"/>
          <w:lang w:val="en-US" w:eastAsia="zh-CN"/>
        </w:rPr>
        <w:t xml:space="preserve"> PWS for NB-IoT NTN</w:t>
      </w:r>
      <w:r w:rsidRPr="006B46D8">
        <w:rPr>
          <w:lang w:val="en-US"/>
        </w:rPr>
        <w:t>.</w:t>
      </w:r>
    </w:p>
    <w:p w14:paraId="2F0575B0" w14:textId="7B519352" w:rsidR="008B549E" w:rsidRPr="006E13D1" w:rsidRDefault="008B549E" w:rsidP="008B549E">
      <w:pPr>
        <w:pStyle w:val="Heading1"/>
      </w:pPr>
      <w:r w:rsidRPr="006E13D1">
        <w:lastRenderedPageBreak/>
        <w:t>2</w:t>
      </w:r>
      <w:r w:rsidRPr="006E13D1">
        <w:tab/>
      </w:r>
      <w:r w:rsidR="000728FF">
        <w:rPr>
          <w:rFonts w:hint="eastAsia"/>
          <w:lang w:eastAsia="zh-CN"/>
        </w:rPr>
        <w:t>Discussion</w:t>
      </w:r>
    </w:p>
    <w:p w14:paraId="7F80A425" w14:textId="67876C82" w:rsidR="008B549E" w:rsidRPr="006E13D1" w:rsidRDefault="008B549E" w:rsidP="008B549E">
      <w:pPr>
        <w:pStyle w:val="Heading2"/>
      </w:pPr>
      <w:r>
        <w:t>2</w:t>
      </w:r>
      <w:r w:rsidRPr="006E13D1">
        <w:t>.1</w:t>
      </w:r>
      <w:r w:rsidRPr="006E13D1">
        <w:tab/>
      </w:r>
      <w:r w:rsidR="000728FF">
        <w:rPr>
          <w:lang w:val="en-US" w:eastAsia="ko-KR"/>
        </w:rPr>
        <w:t>Geofencing for ETWS</w:t>
      </w:r>
    </w:p>
    <w:p w14:paraId="3F29ECC1" w14:textId="5CF8B4CF" w:rsidR="00CB5A98" w:rsidRDefault="00CB5A98" w:rsidP="00CB5A98">
      <w:pPr>
        <w:rPr>
          <w:bCs/>
          <w:lang w:eastAsia="zh-CN"/>
        </w:rPr>
      </w:pPr>
      <w:r>
        <w:rPr>
          <w:rFonts w:hint="eastAsia"/>
          <w:bCs/>
          <w:lang w:val="en-US" w:eastAsia="zh-CN"/>
        </w:rPr>
        <w:t xml:space="preserve">As part of the PWS objective for IoT NTN, RAN2 </w:t>
      </w:r>
      <w:r w:rsidR="008E6234">
        <w:rPr>
          <w:rFonts w:hint="eastAsia"/>
          <w:bCs/>
          <w:lang w:val="en-US" w:eastAsia="zh-CN"/>
        </w:rPr>
        <w:t>will</w:t>
      </w:r>
      <w:r>
        <w:rPr>
          <w:rFonts w:hint="eastAsia"/>
          <w:bCs/>
          <w:lang w:val="en-US" w:eastAsia="zh-CN"/>
        </w:rPr>
        <w:t xml:space="preserve"> consider </w:t>
      </w:r>
      <w:r>
        <w:rPr>
          <w:bCs/>
          <w:lang w:val="en-US" w:eastAsia="zh-CN"/>
        </w:rPr>
        <w:t>supporting</w:t>
      </w:r>
      <w:r w:rsidRPr="00B97477">
        <w:rPr>
          <w:bCs/>
        </w:rPr>
        <w:t xml:space="preserve"> indication of intended service area for ETWS </w:t>
      </w:r>
      <w:r w:rsidR="00DE0D9A">
        <w:rPr>
          <w:rFonts w:hint="eastAsia"/>
          <w:bCs/>
          <w:lang w:eastAsia="zh-CN"/>
        </w:rPr>
        <w:t xml:space="preserve">in IoT NTN </w:t>
      </w:r>
      <w:r w:rsidRPr="00B97477">
        <w:rPr>
          <w:bCs/>
        </w:rPr>
        <w:t>based on NR NTN outcome.</w:t>
      </w:r>
      <w:r>
        <w:rPr>
          <w:rFonts w:hint="eastAsia"/>
          <w:bCs/>
          <w:lang w:eastAsia="zh-CN"/>
        </w:rPr>
        <w:t xml:space="preserve"> </w:t>
      </w:r>
      <w:r w:rsidRPr="008602C3">
        <w:rPr>
          <w:bCs/>
          <w:lang w:eastAsia="zh-CN"/>
        </w:rPr>
        <w:t xml:space="preserve">For Rel-19 NR NTN, RAN2 discussed whether the geofencing for an area smaller than an NTN cell should be supported. As a result, RAN2 </w:t>
      </w:r>
      <w:r>
        <w:rPr>
          <w:rFonts w:hint="eastAsia"/>
          <w:bCs/>
          <w:lang w:eastAsia="zh-CN"/>
        </w:rPr>
        <w:t>sent</w:t>
      </w:r>
      <w:r w:rsidRPr="008602C3">
        <w:rPr>
          <w:bCs/>
          <w:lang w:eastAsia="zh-CN"/>
        </w:rPr>
        <w:t xml:space="preserve"> LS to SA1 [2]</w:t>
      </w:r>
      <w:r>
        <w:rPr>
          <w:rFonts w:hint="eastAsia"/>
          <w:bCs/>
          <w:lang w:eastAsia="zh-CN"/>
        </w:rPr>
        <w:t xml:space="preserve"> and</w:t>
      </w:r>
      <w:r w:rsidRPr="008602C3">
        <w:rPr>
          <w:bCs/>
          <w:lang w:eastAsia="zh-CN"/>
        </w:rPr>
        <w:t xml:space="preserve"> asked for feedback whether the capability to geofence emergency messages to an area should be supported for ETWS in an NTN cell</w:t>
      </w:r>
    </w:p>
    <w:p w14:paraId="466C8C5E" w14:textId="77777777" w:rsidR="00CB5A98" w:rsidRDefault="00CB5A98" w:rsidP="00CB5A98">
      <w:r>
        <w:t xml:space="preserve">SA1 has attempted to address the issue described in </w:t>
      </w:r>
      <w:r>
        <w:rPr>
          <w:rFonts w:hint="eastAsia"/>
          <w:lang w:eastAsia="zh-CN"/>
        </w:rPr>
        <w:t>the</w:t>
      </w:r>
      <w:r>
        <w:t xml:space="preserve"> LS </w:t>
      </w:r>
      <w:r>
        <w:rPr>
          <w:rFonts w:hint="eastAsia"/>
          <w:lang w:eastAsia="zh-CN"/>
        </w:rPr>
        <w:t>[2]</w:t>
      </w:r>
      <w:r>
        <w:t xml:space="preserve"> and agreed a corresponding CR</w:t>
      </w:r>
      <w:r>
        <w:rPr>
          <w:rFonts w:hint="eastAsia"/>
          <w:lang w:eastAsia="zh-CN"/>
        </w:rPr>
        <w:t xml:space="preserve"> [4], providing </w:t>
      </w:r>
      <w:r>
        <w:t>the following new requirement:</w:t>
      </w:r>
    </w:p>
    <w:tbl>
      <w:tblPr>
        <w:tblStyle w:val="TableGrid"/>
        <w:tblW w:w="0" w:type="auto"/>
        <w:tblLook w:val="04A0" w:firstRow="1" w:lastRow="0" w:firstColumn="1" w:lastColumn="0" w:noHBand="0" w:noVBand="1"/>
      </w:tblPr>
      <w:tblGrid>
        <w:gridCol w:w="9631"/>
      </w:tblGrid>
      <w:tr w:rsidR="00CB5A98" w14:paraId="79088330" w14:textId="77777777" w:rsidTr="00E52CE2">
        <w:tc>
          <w:tcPr>
            <w:tcW w:w="9631" w:type="dxa"/>
          </w:tcPr>
          <w:p w14:paraId="4D51CD56" w14:textId="77777777" w:rsidR="00CB5A98" w:rsidRPr="00720571" w:rsidRDefault="00CB5A98" w:rsidP="00E52CE2">
            <w:pPr>
              <w:keepNext/>
              <w:keepLines/>
              <w:overflowPunct w:val="0"/>
              <w:autoSpaceDE w:val="0"/>
              <w:autoSpaceDN w:val="0"/>
              <w:adjustRightInd w:val="0"/>
              <w:spacing w:before="180"/>
              <w:ind w:left="1134" w:hanging="1134"/>
              <w:outlineLvl w:val="1"/>
              <w:rPr>
                <w:rFonts w:ascii="Arial" w:hAnsi="Arial"/>
                <w:sz w:val="32"/>
              </w:rPr>
            </w:pPr>
            <w:r w:rsidRPr="00720571">
              <w:rPr>
                <w:rFonts w:ascii="Arial" w:eastAsia="MS PGothic" w:hAnsi="Arial"/>
                <w:sz w:val="32"/>
              </w:rPr>
              <w:t>5.6</w:t>
            </w:r>
            <w:r w:rsidRPr="00720571">
              <w:rPr>
                <w:rFonts w:ascii="Arial" w:eastAsia="MS PGothic" w:hAnsi="Arial"/>
                <w:sz w:val="32"/>
              </w:rPr>
              <w:tab/>
            </w:r>
            <w:r w:rsidRPr="00720571">
              <w:rPr>
                <w:rFonts w:ascii="Arial" w:eastAsia="MS PGothic" w:hAnsi="Arial"/>
                <w:sz w:val="32"/>
                <w:lang w:val="en-US"/>
              </w:rPr>
              <w:t>Additional PWS Requirements Specific to ETWS</w:t>
            </w:r>
          </w:p>
          <w:p w14:paraId="563F3841" w14:textId="77777777" w:rsidR="00CB5A98" w:rsidRPr="00720571" w:rsidRDefault="00CB5A98" w:rsidP="00E52CE2">
            <w:pPr>
              <w:spacing w:after="160" w:line="259" w:lineRule="auto"/>
            </w:pPr>
            <w:r w:rsidRPr="00720571">
              <w:t xml:space="preserve">Subject to local/regional regulatory requirements, in addition to ETWS Primary and Secondary Notifications, ETWS shall be able to support broadcasting Warning Notification Area(s). </w:t>
            </w:r>
            <w:r w:rsidRPr="00173E7A">
              <w:t xml:space="preserve">This requirement applies to </w:t>
            </w:r>
            <w:r w:rsidRPr="00FC3BF4">
              <w:rPr>
                <w:b/>
                <w:bCs/>
                <w:highlight w:val="yellow"/>
              </w:rPr>
              <w:t>Satellite E-UTRAN</w:t>
            </w:r>
            <w:r w:rsidRPr="00173E7A">
              <w:rPr>
                <w:b/>
                <w:bCs/>
              </w:rPr>
              <w:t xml:space="preserve"> </w:t>
            </w:r>
            <w:r w:rsidRPr="00173E7A">
              <w:t>and Satellite NG-RAN.</w:t>
            </w:r>
          </w:p>
          <w:p w14:paraId="525DF18D" w14:textId="77777777" w:rsidR="00CB5A98" w:rsidRPr="00720571" w:rsidRDefault="00CB5A98" w:rsidP="00E52CE2">
            <w:pPr>
              <w:spacing w:after="160" w:line="259" w:lineRule="auto"/>
              <w:rPr>
                <w:rFonts w:ascii="Aptos" w:eastAsia="Aptos" w:hAnsi="Aptos"/>
                <w:kern w:val="2"/>
                <w:lang w:val="en-US"/>
                <w14:ligatures w14:val="standardContextual"/>
              </w:rPr>
            </w:pPr>
            <w:r w:rsidRPr="00720571">
              <w:t>Subject to local/regional regulatory requirements, an</w:t>
            </w:r>
            <w:r w:rsidRPr="00720571">
              <w:rPr>
                <w:lang w:val="en-US"/>
              </w:rPr>
              <w:t xml:space="preserve"> </w:t>
            </w:r>
            <w:r w:rsidRPr="00720571">
              <w:t>ETWS</w:t>
            </w:r>
            <w:r w:rsidRPr="00720571">
              <w:rPr>
                <w:lang w:val="en-US"/>
              </w:rPr>
              <w:t xml:space="preserve">-capable UE shall present the received ETWS Notification(s) (Primary or Secondary) if there is a corresponding Warning Notification Area(s) and if the </w:t>
            </w:r>
            <w:r w:rsidRPr="00720571">
              <w:t>ETWS</w:t>
            </w:r>
            <w:r w:rsidRPr="00720571">
              <w:rPr>
                <w:lang w:val="en-US"/>
              </w:rPr>
              <w:t xml:space="preserve">-capable UE is able to determine that its location is within the corresponding Warning Notification Area(s). Otherwise, if an </w:t>
            </w:r>
            <w:r w:rsidRPr="00720571">
              <w:t>ETWS</w:t>
            </w:r>
            <w:r w:rsidRPr="00720571">
              <w:rPr>
                <w:lang w:val="en-US"/>
              </w:rPr>
              <w:t xml:space="preserve">-capable UE is unable to or fails to determine its location, the </w:t>
            </w:r>
            <w:r w:rsidRPr="00720571">
              <w:t>ETWS</w:t>
            </w:r>
            <w:r w:rsidRPr="00720571">
              <w:rPr>
                <w:lang w:val="en-US"/>
              </w:rPr>
              <w:t xml:space="preserve">-capable UE shall present the </w:t>
            </w:r>
            <w:r w:rsidRPr="00720571">
              <w:t>ETWS</w:t>
            </w:r>
            <w:r w:rsidRPr="00720571">
              <w:rPr>
                <w:lang w:val="en-US"/>
              </w:rPr>
              <w:t xml:space="preserve"> Notification(s) (Primary or Secondary) to the user.</w:t>
            </w:r>
          </w:p>
        </w:tc>
      </w:tr>
    </w:tbl>
    <w:p w14:paraId="569DC7E4" w14:textId="47D5151C" w:rsidR="00CB5A98" w:rsidRPr="00A31231" w:rsidRDefault="00CB5A98" w:rsidP="00CB5A98">
      <w:pPr>
        <w:rPr>
          <w:lang w:val="en-US" w:eastAsia="zh-CN"/>
        </w:rPr>
      </w:pPr>
      <w:r>
        <w:br/>
      </w:r>
      <w:r w:rsidRPr="00A31231">
        <w:rPr>
          <w:lang w:val="en-US" w:eastAsia="zh-CN"/>
        </w:rPr>
        <w:t>According to the additional PWS requirement applicable to ETWS, defined recently by SA1, the UE capable of ETWS shall be able to present the ETWS notification if the UE is able to determine it</w:t>
      </w:r>
      <w:r w:rsidR="00BF0C4F">
        <w:rPr>
          <w:lang w:val="en-US" w:eastAsia="zh-CN"/>
        </w:rPr>
        <w:t>s location</w:t>
      </w:r>
      <w:r w:rsidRPr="00A31231">
        <w:rPr>
          <w:lang w:val="en-US" w:eastAsia="zh-CN"/>
        </w:rPr>
        <w:t xml:space="preserve"> is within the Warning Notification Area. If the UE is unable to determine its location (i.e. within or outside the Warning Notification Area) it shall also present the ETWS notification. </w:t>
      </w:r>
    </w:p>
    <w:p w14:paraId="7E0A4E9D" w14:textId="77777777" w:rsidR="00CB5A98" w:rsidRPr="00A31231" w:rsidRDefault="00CB5A98" w:rsidP="00CB5A98">
      <w:pPr>
        <w:rPr>
          <w:b/>
          <w:bCs/>
          <w:lang w:val="en-US" w:eastAsia="zh-CN"/>
        </w:rPr>
      </w:pPr>
      <w:r w:rsidRPr="00A31231">
        <w:rPr>
          <w:b/>
          <w:bCs/>
          <w:lang w:val="en-US" w:eastAsia="zh-CN"/>
        </w:rPr>
        <w:t xml:space="preserve">Observation </w:t>
      </w:r>
      <w:r w:rsidRPr="00A31231">
        <w:rPr>
          <w:rFonts w:hint="eastAsia"/>
          <w:b/>
          <w:bCs/>
          <w:lang w:val="en-US" w:eastAsia="zh-CN"/>
        </w:rPr>
        <w:t>1</w:t>
      </w:r>
      <w:r w:rsidRPr="00A31231">
        <w:rPr>
          <w:b/>
          <w:bCs/>
          <w:lang w:val="en-US" w:eastAsia="zh-CN"/>
        </w:rPr>
        <w:t>: According to SA1, ETWS-capable UE shall present the ETWS notification if the UE is able to determine it is within the Warning Notification Area or when the UE is unable to determine its location.</w:t>
      </w:r>
    </w:p>
    <w:p w14:paraId="6C76E69A" w14:textId="682C3DAA" w:rsidR="00CB5A98" w:rsidRDefault="00CB5A98" w:rsidP="00CB5A98">
      <w:pPr>
        <w:rPr>
          <w:lang w:val="en-US" w:eastAsia="zh-CN"/>
        </w:rPr>
      </w:pPr>
      <w:r>
        <w:rPr>
          <w:rFonts w:hint="eastAsia"/>
          <w:lang w:val="en-US" w:eastAsia="zh-CN"/>
        </w:rPr>
        <w:t xml:space="preserve">Furthermore, in the SA1 CR [4], </w:t>
      </w:r>
      <w:r>
        <w:rPr>
          <w:lang w:val="en-US" w:eastAsia="zh-CN"/>
        </w:rPr>
        <w:t>the above</w:t>
      </w:r>
      <w:r>
        <w:rPr>
          <w:rFonts w:hint="eastAsia"/>
          <w:lang w:val="en-US" w:eastAsia="zh-CN"/>
        </w:rPr>
        <w:t xml:space="preserve"> requirement can be applied to not only Satellite NG-RAN but also Satellite E-UTRAN. In other words, the g</w:t>
      </w:r>
      <w:r w:rsidRPr="00173E7A">
        <w:rPr>
          <w:lang w:val="en-US" w:eastAsia="zh-CN"/>
        </w:rPr>
        <w:t xml:space="preserve">eofencing </w:t>
      </w:r>
      <w:r>
        <w:rPr>
          <w:rFonts w:hint="eastAsia"/>
          <w:lang w:val="en-US" w:eastAsia="zh-CN"/>
        </w:rPr>
        <w:t xml:space="preserve">to </w:t>
      </w:r>
      <w:r w:rsidR="009B41C0">
        <w:rPr>
          <w:lang w:val="en-US" w:eastAsia="zh-CN"/>
        </w:rPr>
        <w:t xml:space="preserve">the </w:t>
      </w:r>
      <w:r>
        <w:rPr>
          <w:rFonts w:hint="eastAsia"/>
          <w:lang w:val="en-US" w:eastAsia="zh-CN"/>
        </w:rPr>
        <w:t xml:space="preserve">intended area should be supported </w:t>
      </w:r>
      <w:r w:rsidRPr="00173E7A">
        <w:rPr>
          <w:lang w:val="en-US" w:eastAsia="zh-CN"/>
        </w:rPr>
        <w:t>for ETWS</w:t>
      </w:r>
      <w:r>
        <w:rPr>
          <w:rFonts w:hint="eastAsia"/>
          <w:lang w:val="en-US" w:eastAsia="zh-CN"/>
        </w:rPr>
        <w:t xml:space="preserve"> over IoT NTN.</w:t>
      </w:r>
    </w:p>
    <w:p w14:paraId="28798EAB" w14:textId="2C38FD80" w:rsidR="00CB5A98" w:rsidRPr="00173E7A" w:rsidRDefault="00CB5A98" w:rsidP="00CB5A98">
      <w:pPr>
        <w:rPr>
          <w:b/>
          <w:bCs/>
          <w:lang w:val="en-US" w:eastAsia="zh-CN"/>
        </w:rPr>
      </w:pPr>
      <w:r w:rsidRPr="00173E7A">
        <w:rPr>
          <w:rFonts w:hint="eastAsia"/>
          <w:b/>
          <w:bCs/>
          <w:lang w:val="en-US" w:eastAsia="zh-CN"/>
        </w:rPr>
        <w:t>Proposal</w:t>
      </w:r>
      <w:r w:rsidRPr="00173E7A">
        <w:rPr>
          <w:b/>
          <w:bCs/>
          <w:lang w:val="en-US" w:eastAsia="zh-CN"/>
        </w:rPr>
        <w:t xml:space="preserve"> </w:t>
      </w:r>
      <w:r w:rsidRPr="00173E7A">
        <w:rPr>
          <w:rFonts w:hint="eastAsia"/>
          <w:b/>
          <w:bCs/>
          <w:lang w:val="en-US" w:eastAsia="zh-CN"/>
        </w:rPr>
        <w:t>1</w:t>
      </w:r>
      <w:r w:rsidRPr="00173E7A">
        <w:rPr>
          <w:b/>
          <w:bCs/>
          <w:lang w:val="en-US" w:eastAsia="zh-CN"/>
        </w:rPr>
        <w:t xml:space="preserve">: </w:t>
      </w:r>
      <w:r w:rsidRPr="00173E7A">
        <w:rPr>
          <w:rFonts w:hint="eastAsia"/>
          <w:b/>
          <w:bCs/>
          <w:lang w:val="en-US" w:eastAsia="zh-CN"/>
        </w:rPr>
        <w:t>RAN2 to confirm that, the g</w:t>
      </w:r>
      <w:r w:rsidRPr="00173E7A">
        <w:rPr>
          <w:b/>
          <w:bCs/>
          <w:lang w:val="en-US" w:eastAsia="zh-CN"/>
        </w:rPr>
        <w:t xml:space="preserve">eofencing </w:t>
      </w:r>
      <w:r w:rsidR="00CA3137">
        <w:rPr>
          <w:b/>
          <w:bCs/>
          <w:lang w:val="en-US" w:eastAsia="zh-CN"/>
        </w:rPr>
        <w:t>information of</w:t>
      </w:r>
      <w:r w:rsidR="00CA3137" w:rsidRPr="00173E7A">
        <w:rPr>
          <w:rFonts w:hint="eastAsia"/>
          <w:b/>
          <w:bCs/>
          <w:lang w:val="en-US" w:eastAsia="zh-CN"/>
        </w:rPr>
        <w:t xml:space="preserve"> </w:t>
      </w:r>
      <w:r w:rsidR="00646117">
        <w:rPr>
          <w:b/>
          <w:bCs/>
          <w:lang w:val="en-US" w:eastAsia="zh-CN"/>
        </w:rPr>
        <w:t xml:space="preserve">the </w:t>
      </w:r>
      <w:r w:rsidRPr="00173E7A">
        <w:rPr>
          <w:rFonts w:hint="eastAsia"/>
          <w:b/>
          <w:bCs/>
          <w:lang w:val="en-US" w:eastAsia="zh-CN"/>
        </w:rPr>
        <w:t xml:space="preserve">intended area should be supported </w:t>
      </w:r>
      <w:r w:rsidRPr="00173E7A">
        <w:rPr>
          <w:b/>
          <w:bCs/>
          <w:lang w:val="en-US" w:eastAsia="zh-CN"/>
        </w:rPr>
        <w:t>for ETWS</w:t>
      </w:r>
      <w:r w:rsidRPr="00173E7A">
        <w:rPr>
          <w:rFonts w:hint="eastAsia"/>
          <w:b/>
          <w:bCs/>
          <w:lang w:val="en-US" w:eastAsia="zh-CN"/>
        </w:rPr>
        <w:t xml:space="preserve"> over IoT NTN</w:t>
      </w:r>
      <w:r w:rsidRPr="00173E7A">
        <w:rPr>
          <w:b/>
          <w:bCs/>
          <w:lang w:val="en-US" w:eastAsia="zh-CN"/>
        </w:rPr>
        <w:t>.</w:t>
      </w:r>
    </w:p>
    <w:p w14:paraId="5A62FF2D" w14:textId="167FBFA2" w:rsidR="00CB5A98" w:rsidRDefault="00CB5A98" w:rsidP="00CB5A98">
      <w:pPr>
        <w:rPr>
          <w:lang w:val="en-US" w:eastAsia="zh-CN"/>
        </w:rPr>
      </w:pPr>
      <w:r w:rsidRPr="003F2F0C">
        <w:rPr>
          <w:lang w:val="en-US" w:eastAsia="zh-CN"/>
        </w:rPr>
        <w:t xml:space="preserve">As it is expected the ETWS area </w:t>
      </w:r>
      <w:r w:rsidR="006C6ECE">
        <w:rPr>
          <w:lang w:val="en-US" w:eastAsia="zh-CN"/>
        </w:rPr>
        <w:t>may</w:t>
      </w:r>
      <w:r w:rsidR="006C6ECE" w:rsidRPr="003F2F0C">
        <w:rPr>
          <w:lang w:val="en-US" w:eastAsia="zh-CN"/>
        </w:rPr>
        <w:t xml:space="preserve"> </w:t>
      </w:r>
      <w:r w:rsidRPr="003F2F0C">
        <w:rPr>
          <w:lang w:val="en-US" w:eastAsia="zh-CN"/>
        </w:rPr>
        <w:t xml:space="preserve">be smaller than </w:t>
      </w:r>
      <w:proofErr w:type="gramStart"/>
      <w:r w:rsidR="009D2FD1">
        <w:rPr>
          <w:lang w:val="en-US" w:eastAsia="zh-CN"/>
        </w:rPr>
        <w:t>a</w:t>
      </w:r>
      <w:proofErr w:type="gramEnd"/>
      <w:r w:rsidRPr="003F2F0C">
        <w:rPr>
          <w:lang w:val="en-US" w:eastAsia="zh-CN"/>
        </w:rPr>
        <w:t xml:space="preserve"> NTN cell footprint, it may be worth to find the means to avoid alerting UEs outside of the ETWS area but located within the same NTN cell (i.e. receiving the same System Information).</w:t>
      </w:r>
      <w:r w:rsidRPr="00277171">
        <w:t xml:space="preserve"> </w:t>
      </w:r>
    </w:p>
    <w:p w14:paraId="22E43F03" w14:textId="77777777" w:rsidR="00CB5A98" w:rsidRDefault="00CB5A98" w:rsidP="00CB5A98">
      <w:pPr>
        <w:rPr>
          <w:b/>
          <w:bCs/>
        </w:rPr>
      </w:pPr>
      <w:r w:rsidRPr="00864175">
        <w:rPr>
          <w:b/>
          <w:bCs/>
        </w:rPr>
        <w:t xml:space="preserve">Observation </w:t>
      </w:r>
      <w:r>
        <w:rPr>
          <w:rFonts w:hint="eastAsia"/>
          <w:b/>
          <w:bCs/>
          <w:lang w:eastAsia="zh-CN"/>
        </w:rPr>
        <w:t>2</w:t>
      </w:r>
      <w:r w:rsidRPr="00864175">
        <w:rPr>
          <w:b/>
          <w:bCs/>
        </w:rPr>
        <w:t xml:space="preserve">: </w:t>
      </w:r>
      <w:r>
        <w:rPr>
          <w:b/>
          <w:bCs/>
        </w:rPr>
        <w:t>ETWS area is likely to cover a smaller area than NTN cell’s footprint</w:t>
      </w:r>
      <w:r w:rsidRPr="00864175">
        <w:rPr>
          <w:b/>
          <w:bCs/>
        </w:rPr>
        <w:t>.</w:t>
      </w:r>
    </w:p>
    <w:p w14:paraId="29520B84" w14:textId="77777777" w:rsidR="00CB5A98" w:rsidRPr="00864175" w:rsidRDefault="00CB5A98" w:rsidP="00CB5A98">
      <w:pPr>
        <w:rPr>
          <w:b/>
          <w:bCs/>
        </w:rPr>
      </w:pPr>
      <w:r>
        <w:rPr>
          <w:b/>
          <w:bCs/>
        </w:rPr>
        <w:t xml:space="preserve">Observation </w:t>
      </w:r>
      <w:r>
        <w:rPr>
          <w:rFonts w:hint="eastAsia"/>
          <w:b/>
          <w:bCs/>
          <w:lang w:eastAsia="zh-CN"/>
        </w:rPr>
        <w:t>3</w:t>
      </w:r>
      <w:r>
        <w:rPr>
          <w:b/>
          <w:bCs/>
        </w:rPr>
        <w:t xml:space="preserve">: It is beneficial if UEs </w:t>
      </w:r>
      <w:r w:rsidRPr="002A3281">
        <w:rPr>
          <w:b/>
          <w:bCs/>
        </w:rPr>
        <w:t>outside of the ETWS area but located within the same NTN cell (i.e. receiving the same System Information)</w:t>
      </w:r>
      <w:r>
        <w:rPr>
          <w:b/>
          <w:bCs/>
        </w:rPr>
        <w:t xml:space="preserve"> are not alerted.</w:t>
      </w:r>
    </w:p>
    <w:p w14:paraId="4B908DFC" w14:textId="47A20D5B" w:rsidR="00CB5A98" w:rsidRDefault="00CB5A98" w:rsidP="00CB5A98">
      <w:pPr>
        <w:rPr>
          <w:lang w:val="en-US"/>
        </w:rPr>
      </w:pPr>
      <w:r w:rsidRPr="00277171">
        <w:rPr>
          <w:lang w:val="en-US" w:eastAsia="zh-CN"/>
        </w:rPr>
        <w:t xml:space="preserve">To achieve such goal, the UE should be told where the intended ETWS area </w:t>
      </w:r>
      <w:proofErr w:type="gramStart"/>
      <w:r w:rsidRPr="00277171">
        <w:rPr>
          <w:lang w:val="en-US" w:eastAsia="zh-CN"/>
        </w:rPr>
        <w:t>actually is</w:t>
      </w:r>
      <w:proofErr w:type="gramEnd"/>
      <w:r w:rsidRPr="00277171">
        <w:rPr>
          <w:lang w:val="en-US" w:eastAsia="zh-CN"/>
        </w:rPr>
        <w:t>.</w:t>
      </w:r>
      <w:r>
        <w:rPr>
          <w:rFonts w:hint="eastAsia"/>
          <w:lang w:val="en-US" w:eastAsia="zh-CN"/>
        </w:rPr>
        <w:t xml:space="preserve"> </w:t>
      </w:r>
      <w:r w:rsidRPr="00277171">
        <w:rPr>
          <w:lang w:val="en-US" w:eastAsia="zh-CN"/>
        </w:rPr>
        <w:t xml:space="preserve">In the simplest approach the reference location + radius, known from Rel-18 </w:t>
      </w:r>
      <w:r w:rsidR="00406A0D">
        <w:rPr>
          <w:rFonts w:hint="eastAsia"/>
          <w:lang w:val="en-US" w:eastAsia="zh-CN"/>
        </w:rPr>
        <w:t>non-</w:t>
      </w:r>
      <w:r w:rsidRPr="00277171">
        <w:rPr>
          <w:lang w:val="en-US" w:eastAsia="zh-CN"/>
        </w:rPr>
        <w:t>terrestrial coverage area signaling, can be reused.</w:t>
      </w:r>
      <w:r>
        <w:rPr>
          <w:rFonts w:hint="eastAsia"/>
          <w:lang w:val="en-US" w:eastAsia="zh-CN"/>
        </w:rPr>
        <w:t xml:space="preserve"> Alternatively, the </w:t>
      </w:r>
      <w:proofErr w:type="spellStart"/>
      <w:r w:rsidRPr="00277171">
        <w:rPr>
          <w:i/>
          <w:iCs/>
          <w:lang w:val="en-US" w:eastAsia="zh-CN"/>
        </w:rPr>
        <w:t>warningAreaCoordinatesSegments</w:t>
      </w:r>
      <w:proofErr w:type="spellEnd"/>
      <w:r w:rsidRPr="00277171">
        <w:rPr>
          <w:lang w:val="en-US" w:eastAsia="zh-CN"/>
        </w:rPr>
        <w:t xml:space="preserve"> defined for CMAS </w:t>
      </w:r>
      <w:r>
        <w:rPr>
          <w:rFonts w:hint="eastAsia"/>
          <w:lang w:val="en-US" w:eastAsia="zh-CN"/>
        </w:rPr>
        <w:t>may</w:t>
      </w:r>
      <w:r w:rsidRPr="00277171">
        <w:rPr>
          <w:lang w:val="en-US" w:eastAsia="zh-CN"/>
        </w:rPr>
        <w:t xml:space="preserve"> also be </w:t>
      </w:r>
      <w:r>
        <w:rPr>
          <w:rFonts w:hint="eastAsia"/>
          <w:lang w:val="en-US" w:eastAsia="zh-CN"/>
        </w:rPr>
        <w:t>re</w:t>
      </w:r>
      <w:r w:rsidRPr="00277171">
        <w:rPr>
          <w:lang w:val="en-US" w:eastAsia="zh-CN"/>
        </w:rPr>
        <w:t>used to indicate the geographical area</w:t>
      </w:r>
      <w:r>
        <w:rPr>
          <w:rFonts w:hint="eastAsia"/>
          <w:lang w:val="en-US" w:eastAsia="zh-CN"/>
        </w:rPr>
        <w:t xml:space="preserve"> (e.g., for SIB11)</w:t>
      </w:r>
      <w:r w:rsidRPr="00277171">
        <w:rPr>
          <w:lang w:val="en-US" w:eastAsia="zh-CN"/>
        </w:rPr>
        <w:t>.</w:t>
      </w:r>
      <w:r>
        <w:rPr>
          <w:rFonts w:hint="eastAsia"/>
          <w:lang w:val="en-US" w:eastAsia="zh-CN"/>
        </w:rPr>
        <w:t xml:space="preserve"> However, </w:t>
      </w:r>
      <w:r w:rsidR="0092292F">
        <w:rPr>
          <w:rFonts w:hint="eastAsia"/>
          <w:lang w:val="en-US" w:eastAsia="zh-CN"/>
        </w:rPr>
        <w:t>s</w:t>
      </w:r>
      <w:r w:rsidR="0092292F" w:rsidRPr="0092292F">
        <w:rPr>
          <w:lang w:val="en-US" w:eastAsia="zh-CN"/>
        </w:rPr>
        <w:t xml:space="preserve">ince the discussion in NR NTN is still ongoing, to prevent parallel discussions, IoT NTN </w:t>
      </w:r>
      <w:r w:rsidR="00CA3137">
        <w:rPr>
          <w:lang w:val="en-US" w:eastAsia="zh-CN"/>
        </w:rPr>
        <w:t xml:space="preserve">discussion and conclusion </w:t>
      </w:r>
      <w:r w:rsidR="0092292F" w:rsidRPr="0092292F">
        <w:rPr>
          <w:lang w:val="en-US" w:eastAsia="zh-CN"/>
        </w:rPr>
        <w:t>can wait for the conclusion from NR NTN and then discuss the specific solution accordingly</w:t>
      </w:r>
      <w:r w:rsidRPr="004B282F">
        <w:rPr>
          <w:lang w:val="en-US"/>
        </w:rPr>
        <w:t>.</w:t>
      </w:r>
    </w:p>
    <w:p w14:paraId="03A3DDE2" w14:textId="06082AAA" w:rsidR="00CB5A98" w:rsidRDefault="00CB5A98" w:rsidP="00CB5A98">
      <w:pPr>
        <w:rPr>
          <w:b/>
          <w:lang w:val="en-US"/>
        </w:rPr>
      </w:pPr>
      <w:r w:rsidRPr="00D5023D">
        <w:rPr>
          <w:b/>
          <w:lang w:val="en-US"/>
        </w:rPr>
        <w:t xml:space="preserve">Proposal </w:t>
      </w:r>
      <w:r>
        <w:rPr>
          <w:rFonts w:hint="eastAsia"/>
          <w:b/>
          <w:lang w:val="en-US" w:eastAsia="zh-CN"/>
        </w:rPr>
        <w:t>2</w:t>
      </w:r>
      <w:r w:rsidRPr="00D5023D">
        <w:rPr>
          <w:b/>
          <w:lang w:val="en-US"/>
        </w:rPr>
        <w:t xml:space="preserve">: </w:t>
      </w:r>
      <w:r w:rsidR="00416EC3" w:rsidRPr="00416EC3">
        <w:rPr>
          <w:b/>
          <w:lang w:val="en-US" w:eastAsia="zh-CN"/>
        </w:rPr>
        <w:t>Wait for NR NTN's conclusion to determine the solution for indicating the intended service area for ETWS over IoT NTN</w:t>
      </w:r>
      <w:r w:rsidRPr="00D5023D">
        <w:rPr>
          <w:b/>
          <w:lang w:val="en-US"/>
        </w:rPr>
        <w:t>.</w:t>
      </w:r>
      <w:r>
        <w:rPr>
          <w:b/>
          <w:lang w:val="en-US"/>
        </w:rPr>
        <w:t xml:space="preserve"> </w:t>
      </w:r>
    </w:p>
    <w:p w14:paraId="4B615058" w14:textId="77777777" w:rsidR="00557057" w:rsidRPr="00557057" w:rsidRDefault="00557057" w:rsidP="008B549E">
      <w:pPr>
        <w:rPr>
          <w:lang w:val="da-DK"/>
        </w:rPr>
      </w:pPr>
    </w:p>
    <w:p w14:paraId="1D27F845" w14:textId="78EE62DC" w:rsidR="00557057" w:rsidRPr="00F42493" w:rsidRDefault="00557057" w:rsidP="00557057">
      <w:pPr>
        <w:pStyle w:val="Heading2"/>
        <w:rPr>
          <w:lang w:val="da-DK" w:eastAsia="zh-CN"/>
        </w:rPr>
      </w:pPr>
      <w:r w:rsidRPr="00F42493">
        <w:rPr>
          <w:lang w:val="da-DK"/>
        </w:rPr>
        <w:lastRenderedPageBreak/>
        <w:t>2.</w:t>
      </w:r>
      <w:r>
        <w:rPr>
          <w:rFonts w:hint="eastAsia"/>
          <w:lang w:val="da-DK" w:eastAsia="zh-CN"/>
        </w:rPr>
        <w:t>2</w:t>
      </w:r>
      <w:r w:rsidRPr="00F42493">
        <w:rPr>
          <w:lang w:val="da-DK"/>
        </w:rPr>
        <w:tab/>
      </w:r>
      <w:r>
        <w:rPr>
          <w:rFonts w:hint="eastAsia"/>
          <w:lang w:val="da-DK" w:eastAsia="zh-CN"/>
        </w:rPr>
        <w:t xml:space="preserve">Inter-cell </w:t>
      </w:r>
      <w:r>
        <w:rPr>
          <w:rFonts w:hint="eastAsia"/>
          <w:lang w:val="en-US" w:eastAsia="zh-CN"/>
        </w:rPr>
        <w:t>PWS reception</w:t>
      </w:r>
    </w:p>
    <w:p w14:paraId="263F0251" w14:textId="5CD443DD" w:rsidR="00EB1AAD" w:rsidRPr="00EB1AAD" w:rsidRDefault="00EB1AAD" w:rsidP="00EB1AAD">
      <w:pPr>
        <w:rPr>
          <w:lang w:val="da-DK"/>
        </w:rPr>
      </w:pPr>
      <w:r w:rsidRPr="00EB1AAD">
        <w:rPr>
          <w:rFonts w:hint="eastAsia"/>
          <w:lang w:val="da-DK"/>
        </w:rPr>
        <w:t>According to</w:t>
      </w:r>
      <w:r w:rsidRPr="00EB1AAD">
        <w:rPr>
          <w:lang w:val="da-DK"/>
        </w:rPr>
        <w:t xml:space="preserve"> </w:t>
      </w:r>
      <w:r w:rsidRPr="00EB1AAD">
        <w:rPr>
          <w:rFonts w:hint="eastAsia"/>
          <w:lang w:val="da-DK"/>
        </w:rPr>
        <w:t>current TS36.331 specification</w:t>
      </w:r>
      <w:r w:rsidRPr="00EB1AAD">
        <w:rPr>
          <w:lang w:val="da-DK"/>
        </w:rPr>
        <w:t xml:space="preserve">, </w:t>
      </w:r>
      <w:r w:rsidR="00492BDB">
        <w:rPr>
          <w:lang w:val="da-DK"/>
        </w:rPr>
        <w:t xml:space="preserve">the PWS message may be segmented </w:t>
      </w:r>
      <w:r w:rsidR="000706B2">
        <w:rPr>
          <w:lang w:val="da-DK"/>
        </w:rPr>
        <w:t>to accomodate a subset of the message information within the SIB</w:t>
      </w:r>
      <w:r w:rsidR="001F39ED">
        <w:rPr>
          <w:lang w:val="da-DK"/>
        </w:rPr>
        <w:t xml:space="preserve"> (which has size limitations). However, </w:t>
      </w:r>
      <w:r w:rsidRPr="00EB1AAD">
        <w:rPr>
          <w:lang w:val="da-DK"/>
        </w:rPr>
        <w:t>for the UE receiving the PWS message, the segment feature is only supported for intra-cell case.</w:t>
      </w:r>
      <w:r w:rsidRPr="00EB1AAD">
        <w:rPr>
          <w:rFonts w:hint="eastAsia"/>
          <w:lang w:val="da-DK"/>
        </w:rPr>
        <w:t xml:space="preserve"> i.e., i</w:t>
      </w:r>
      <w:r w:rsidRPr="00EB1AAD">
        <w:rPr>
          <w:lang w:val="da-DK"/>
        </w:rPr>
        <w:t>f the RRC idle UE enters a new cell, the UE shall discard any previously buffered warning message segment</w:t>
      </w:r>
      <w:r w:rsidR="001F39ED">
        <w:rPr>
          <w:lang w:val="da-DK"/>
        </w:rPr>
        <w:t>(s)</w:t>
      </w:r>
      <w:r w:rsidRPr="00EB1AAD">
        <w:rPr>
          <w:lang w:val="da-DK"/>
        </w:rPr>
        <w:t>.</w:t>
      </w:r>
    </w:p>
    <w:tbl>
      <w:tblPr>
        <w:tblStyle w:val="TableGrid1"/>
        <w:tblW w:w="0" w:type="auto"/>
        <w:tblLook w:val="04A0" w:firstRow="1" w:lastRow="0" w:firstColumn="1" w:lastColumn="0" w:noHBand="0" w:noVBand="1"/>
      </w:tblPr>
      <w:tblGrid>
        <w:gridCol w:w="9628"/>
      </w:tblGrid>
      <w:tr w:rsidR="00EB1AAD" w:rsidRPr="00EB1AAD" w14:paraId="43D1A8BC" w14:textId="77777777" w:rsidTr="00164398">
        <w:tc>
          <w:tcPr>
            <w:tcW w:w="9628" w:type="dxa"/>
          </w:tcPr>
          <w:p w14:paraId="5A489865" w14:textId="65A68EAC" w:rsidR="00EB1AAD" w:rsidRPr="00EB1AAD" w:rsidRDefault="00256E02" w:rsidP="00256E02">
            <w:pPr>
              <w:keepNext/>
              <w:keepLines/>
              <w:overflowPunct w:val="0"/>
              <w:autoSpaceDE w:val="0"/>
              <w:autoSpaceDN w:val="0"/>
              <w:adjustRightInd w:val="0"/>
              <w:spacing w:before="120"/>
              <w:ind w:left="375"/>
              <w:textAlignment w:val="baseline"/>
              <w:outlineLvl w:val="3"/>
              <w:rPr>
                <w:rFonts w:ascii="Times New Roman" w:hAnsi="Times New Roman"/>
                <w:color w:val="auto"/>
                <w:sz w:val="20"/>
                <w:szCs w:val="20"/>
                <w:lang w:val="da-DK"/>
              </w:rPr>
            </w:pPr>
            <w:bookmarkStart w:id="6" w:name="_Toc20486720"/>
            <w:bookmarkStart w:id="7" w:name="_Toc29342012"/>
            <w:bookmarkStart w:id="8" w:name="_Toc29343151"/>
            <w:bookmarkStart w:id="9" w:name="_Toc36566399"/>
            <w:bookmarkStart w:id="10" w:name="_Toc36809806"/>
            <w:bookmarkStart w:id="11" w:name="_Toc36846170"/>
            <w:bookmarkStart w:id="12" w:name="_Toc36938823"/>
            <w:bookmarkStart w:id="13" w:name="_Toc37081802"/>
            <w:bookmarkStart w:id="14" w:name="_Toc46480425"/>
            <w:bookmarkStart w:id="15" w:name="_Toc46481659"/>
            <w:bookmarkStart w:id="16" w:name="_Toc46482893"/>
            <w:bookmarkStart w:id="17" w:name="_Toc185640048"/>
            <w:r>
              <w:rPr>
                <w:rFonts w:ascii="Times New Roman" w:hAnsi="Times New Roman" w:hint="eastAsia"/>
                <w:color w:val="auto"/>
                <w:sz w:val="20"/>
                <w:szCs w:val="20"/>
                <w:lang w:val="da-DK" w:eastAsia="zh-CN"/>
              </w:rPr>
              <w:t xml:space="preserve">36.331: </w:t>
            </w:r>
            <w:r w:rsidR="00EB1AAD" w:rsidRPr="00EB1AAD">
              <w:rPr>
                <w:rFonts w:ascii="Times New Roman" w:hAnsi="Times New Roman"/>
                <w:color w:val="auto"/>
                <w:sz w:val="20"/>
                <w:szCs w:val="20"/>
                <w:lang w:val="da-DK"/>
              </w:rPr>
              <w:t>5.2.2.4</w:t>
            </w:r>
            <w:r w:rsidR="00EB1AAD" w:rsidRPr="00EB1AAD">
              <w:rPr>
                <w:rFonts w:ascii="Times New Roman" w:hAnsi="Times New Roman"/>
                <w:color w:val="auto"/>
                <w:sz w:val="20"/>
                <w:szCs w:val="20"/>
                <w:lang w:val="da-DK"/>
              </w:rPr>
              <w:tab/>
              <w:t>System information acquisition by the UE</w:t>
            </w:r>
            <w:bookmarkEnd w:id="6"/>
            <w:bookmarkEnd w:id="7"/>
            <w:bookmarkEnd w:id="8"/>
            <w:bookmarkEnd w:id="9"/>
            <w:bookmarkEnd w:id="10"/>
            <w:bookmarkEnd w:id="11"/>
            <w:bookmarkEnd w:id="12"/>
            <w:bookmarkEnd w:id="13"/>
            <w:bookmarkEnd w:id="14"/>
            <w:bookmarkEnd w:id="15"/>
            <w:bookmarkEnd w:id="16"/>
            <w:bookmarkEnd w:id="17"/>
          </w:p>
          <w:p w14:paraId="2E0B32A9" w14:textId="77777777" w:rsidR="00EB1AAD" w:rsidRPr="00EB1AAD" w:rsidRDefault="00EB1AAD" w:rsidP="00EB1AAD">
            <w:pPr>
              <w:spacing w:after="120"/>
              <w:rPr>
                <w:rFonts w:ascii="Times New Roman" w:hAnsi="Times New Roman"/>
                <w:color w:val="auto"/>
                <w:sz w:val="20"/>
                <w:szCs w:val="20"/>
                <w:lang w:val="da-DK"/>
              </w:rPr>
            </w:pPr>
            <w:r w:rsidRPr="00EB1AAD">
              <w:rPr>
                <w:rFonts w:ascii="Times New Roman" w:hAnsi="Times New Roman"/>
                <w:color w:val="auto"/>
                <w:sz w:val="20"/>
                <w:szCs w:val="20"/>
                <w:lang w:val="da-DK"/>
              </w:rPr>
              <w:t>…</w:t>
            </w:r>
          </w:p>
          <w:p w14:paraId="7EA33A4F" w14:textId="77777777" w:rsidR="00EB1AAD" w:rsidRPr="00EB1AAD" w:rsidRDefault="00EB1AAD" w:rsidP="00EB1AAD">
            <w:pPr>
              <w:overflowPunct w:val="0"/>
              <w:autoSpaceDE w:val="0"/>
              <w:autoSpaceDN w:val="0"/>
              <w:adjustRightInd w:val="0"/>
              <w:ind w:left="568"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1&gt;</w:t>
            </w:r>
            <w:r w:rsidRPr="00EB1AAD">
              <w:rPr>
                <w:rFonts w:ascii="Times New Roman" w:hAnsi="Times New Roman"/>
                <w:color w:val="auto"/>
                <w:sz w:val="20"/>
                <w:szCs w:val="20"/>
                <w:lang w:val="da-DK"/>
              </w:rPr>
              <w:tab/>
              <w:t>if the UE is ETWS capable:</w:t>
            </w:r>
          </w:p>
          <w:p w14:paraId="5700DC63" w14:textId="77777777" w:rsidR="00EB1AAD" w:rsidRPr="00EB1AAD" w:rsidRDefault="00EB1AAD" w:rsidP="00EB1AAD">
            <w:pPr>
              <w:overflowPunct w:val="0"/>
              <w:autoSpaceDE w:val="0"/>
              <w:autoSpaceDN w:val="0"/>
              <w:adjustRightInd w:val="0"/>
              <w:ind w:left="851"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2&gt;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upon entering a cell during RRC_IDLE</w:t>
            </w:r>
            <w:r w:rsidRPr="00EB1AAD">
              <w:rPr>
                <w:rFonts w:ascii="Times New Roman" w:hAnsi="Times New Roman"/>
                <w:color w:val="auto"/>
                <w:sz w:val="20"/>
                <w:szCs w:val="20"/>
                <w:lang w:val="da-DK"/>
              </w:rPr>
              <w:t>, following successful handover or upon connection re-establishment:</w:t>
            </w:r>
          </w:p>
          <w:p w14:paraId="5713AD30" w14:textId="77777777" w:rsidR="00EB1AAD" w:rsidRPr="00EB1AAD" w:rsidRDefault="00EB1AAD" w:rsidP="00EB1AAD">
            <w:pPr>
              <w:overflowPunct w:val="0"/>
              <w:autoSpaceDE w:val="0"/>
              <w:autoSpaceDN w:val="0"/>
              <w:adjustRightInd w:val="0"/>
              <w:ind w:left="1135" w:hanging="284"/>
              <w:textAlignment w:val="baseline"/>
              <w:rPr>
                <w:rFonts w:ascii="Times New Roman" w:hAnsi="Times New Roman"/>
                <w:b/>
                <w:bCs/>
                <w:color w:val="auto"/>
                <w:sz w:val="20"/>
                <w:szCs w:val="20"/>
                <w:lang w:val="da-DK"/>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discard any previously buffered warningMessageSegment;</w:t>
            </w:r>
          </w:p>
          <w:p w14:paraId="475FDDED" w14:textId="26D505A3" w:rsidR="00EB1AAD" w:rsidRPr="00EB1AAD" w:rsidRDefault="00EB1AAD" w:rsidP="00256E02">
            <w:pPr>
              <w:overflowPunct w:val="0"/>
              <w:autoSpaceDE w:val="0"/>
              <w:autoSpaceDN w:val="0"/>
              <w:adjustRightInd w:val="0"/>
              <w:ind w:left="1135" w:hanging="284"/>
              <w:textAlignment w:val="baseline"/>
              <w:rPr>
                <w:lang w:eastAsia="zh-CN"/>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t>clear, if any, the current values of messageIdentifier and serialNumber for SystemInformationBlockType11;</w:t>
            </w:r>
          </w:p>
        </w:tc>
      </w:tr>
    </w:tbl>
    <w:p w14:paraId="5D4313C1" w14:textId="77777777" w:rsidR="00EB1AAD" w:rsidRPr="006A41B2" w:rsidRDefault="00EB1AAD" w:rsidP="00EB1AAD">
      <w:pPr>
        <w:spacing w:after="120"/>
        <w:rPr>
          <w:rFonts w:ascii="Nokia Pure Text Light" w:hAnsi="Nokia Pure Text Light" w:cs="Nokia Pure Text Light"/>
          <w:sz w:val="2"/>
          <w:szCs w:val="2"/>
          <w:lang w:val="en-US" w:eastAsia="zh-CN"/>
        </w:rPr>
      </w:pPr>
    </w:p>
    <w:p w14:paraId="2D0E064A" w14:textId="3897A312" w:rsidR="006A41B2" w:rsidRPr="00864175" w:rsidRDefault="006A41B2" w:rsidP="006A41B2">
      <w:pPr>
        <w:rPr>
          <w:b/>
          <w:bCs/>
        </w:rPr>
      </w:pPr>
      <w:r>
        <w:rPr>
          <w:b/>
          <w:bCs/>
        </w:rPr>
        <w:t xml:space="preserve">Observation </w:t>
      </w:r>
      <w:r>
        <w:rPr>
          <w:rFonts w:hint="eastAsia"/>
          <w:b/>
          <w:bCs/>
          <w:lang w:eastAsia="zh-CN"/>
        </w:rPr>
        <w:t>4</w:t>
      </w:r>
      <w:r>
        <w:rPr>
          <w:b/>
          <w:bCs/>
        </w:rPr>
        <w:t xml:space="preserve">: </w:t>
      </w:r>
      <w:r w:rsidR="003109E6">
        <w:rPr>
          <w:rFonts w:hint="eastAsia"/>
          <w:b/>
          <w:bCs/>
          <w:lang w:eastAsia="zh-CN"/>
        </w:rPr>
        <w:t>In legacy, t</w:t>
      </w:r>
      <w:r w:rsidR="0059611F">
        <w:rPr>
          <w:rFonts w:hint="eastAsia"/>
          <w:b/>
          <w:bCs/>
          <w:lang w:eastAsia="zh-CN"/>
        </w:rPr>
        <w:t xml:space="preserve">he PWS </w:t>
      </w:r>
      <w:r w:rsidR="00E466DE">
        <w:rPr>
          <w:rFonts w:hint="eastAsia"/>
          <w:b/>
          <w:bCs/>
          <w:lang w:eastAsia="zh-CN"/>
        </w:rPr>
        <w:t xml:space="preserve">message </w:t>
      </w:r>
      <w:r w:rsidR="0059611F">
        <w:rPr>
          <w:b/>
          <w:bCs/>
          <w:lang w:eastAsia="zh-CN"/>
        </w:rPr>
        <w:t>segmentation</w:t>
      </w:r>
      <w:r w:rsidR="0059611F">
        <w:rPr>
          <w:rFonts w:hint="eastAsia"/>
          <w:b/>
          <w:bCs/>
          <w:lang w:eastAsia="zh-CN"/>
        </w:rPr>
        <w:t xml:space="preserve"> </w:t>
      </w:r>
      <w:r w:rsidR="003109E6">
        <w:rPr>
          <w:rFonts w:hint="eastAsia"/>
          <w:b/>
          <w:bCs/>
          <w:lang w:eastAsia="zh-CN"/>
        </w:rPr>
        <w:t xml:space="preserve">feature </w:t>
      </w:r>
      <w:r w:rsidR="0059611F">
        <w:rPr>
          <w:rFonts w:hint="eastAsia"/>
          <w:b/>
          <w:bCs/>
          <w:lang w:eastAsia="zh-CN"/>
        </w:rPr>
        <w:t xml:space="preserve">is only supported for </w:t>
      </w:r>
      <w:r w:rsidR="006A3D0B">
        <w:rPr>
          <w:b/>
          <w:bCs/>
          <w:lang w:eastAsia="zh-CN"/>
        </w:rPr>
        <w:t>the</w:t>
      </w:r>
      <w:r w:rsidR="0059611F">
        <w:rPr>
          <w:rFonts w:hint="eastAsia"/>
          <w:b/>
          <w:bCs/>
          <w:lang w:eastAsia="zh-CN"/>
        </w:rPr>
        <w:t xml:space="preserve"> int</w:t>
      </w:r>
      <w:r w:rsidR="003109E6">
        <w:rPr>
          <w:rFonts w:hint="eastAsia"/>
          <w:b/>
          <w:bCs/>
          <w:lang w:eastAsia="zh-CN"/>
        </w:rPr>
        <w:t>ra</w:t>
      </w:r>
      <w:r w:rsidR="0059611F">
        <w:rPr>
          <w:rFonts w:hint="eastAsia"/>
          <w:b/>
          <w:bCs/>
          <w:lang w:eastAsia="zh-CN"/>
        </w:rPr>
        <w:t>-cell scenario</w:t>
      </w:r>
      <w:r>
        <w:rPr>
          <w:b/>
          <w:bCs/>
        </w:rPr>
        <w:t>.</w:t>
      </w:r>
    </w:p>
    <w:p w14:paraId="63EAC25E" w14:textId="580A8EDB" w:rsidR="00FB0C19" w:rsidRPr="00FB0C19" w:rsidRDefault="00FB0C19" w:rsidP="00FB0C19">
      <w:pPr>
        <w:rPr>
          <w:lang w:val="da-DK"/>
        </w:rPr>
      </w:pPr>
      <w:r w:rsidRPr="00FB0C19">
        <w:rPr>
          <w:lang w:val="da-DK"/>
        </w:rPr>
        <w:t xml:space="preserve">Different from TN, in NTN, the cell (satellite) is moving hence the UE may experience cell change frequently. For Earth-Moving cell (EMC), a UE may experience </w:t>
      </w:r>
      <w:r w:rsidR="006A3D0B">
        <w:rPr>
          <w:lang w:val="da-DK"/>
        </w:rPr>
        <w:t xml:space="preserve">a </w:t>
      </w:r>
      <w:r w:rsidRPr="00FB0C19">
        <w:rPr>
          <w:lang w:val="da-DK"/>
        </w:rPr>
        <w:t xml:space="preserve">cell change every ~6 seconds as indicated in TR38.821 Table 7.3.2.1.4-1. Therefore, the NW may </w:t>
      </w:r>
      <w:r w:rsidR="005D4C40">
        <w:rPr>
          <w:rFonts w:hint="eastAsia"/>
          <w:lang w:val="da-DK" w:eastAsia="zh-CN"/>
        </w:rPr>
        <w:t xml:space="preserve">not </w:t>
      </w:r>
      <w:r w:rsidRPr="00FB0C19">
        <w:rPr>
          <w:lang w:val="da-DK"/>
        </w:rPr>
        <w:t>manage to broadcast all segments of a PWS message in the current NTN serving cell to a UE due to the large PWS message size (and corresponding huge number of segments) and limited cell availability time (~6 seconds). This may cause the UE cannot receive all the segments for the PWS message if the serving cell is changed before the UE receives all the segments.</w:t>
      </w:r>
    </w:p>
    <w:p w14:paraId="402F6A96" w14:textId="5D1F00B0" w:rsidR="00FB0C19" w:rsidRDefault="00FB0C19" w:rsidP="00FB0C19">
      <w:pPr>
        <w:rPr>
          <w:lang w:val="da-DK"/>
        </w:rPr>
      </w:pPr>
      <w:r w:rsidRPr="00FB0C19">
        <w:rPr>
          <w:lang w:val="da-DK"/>
        </w:rPr>
        <w:t>Furthermore, whether UE can receive all the segments of a PWS message also depends on when the NW starts to broadcast the segments and the UE’s location. As illustrated in Figure</w:t>
      </w:r>
      <w:r w:rsidR="005C7639">
        <w:rPr>
          <w:lang w:val="da-DK"/>
        </w:rPr>
        <w:t xml:space="preserve"> </w:t>
      </w:r>
      <w:r w:rsidRPr="00FB0C19">
        <w:rPr>
          <w:lang w:val="da-DK"/>
        </w:rPr>
        <w:t xml:space="preserve">1, when the satellite/eNB starts to broadcast PWS segments at current moment, the UE located in the cell coverage edge cannot receive all the segments from current serving cell since its cell coverage will be moved out very soon. </w:t>
      </w:r>
      <w:r w:rsidR="00961814">
        <w:rPr>
          <w:lang w:val="da-DK"/>
        </w:rPr>
        <w:t xml:space="preserve">Similarly, in an Earth Fixed Cell scenario, </w:t>
      </w:r>
      <w:r w:rsidR="00D339C6">
        <w:rPr>
          <w:lang w:val="da-DK"/>
        </w:rPr>
        <w:t>the UE may also start the PWS message segment acquisition in one cell, but then experience a cell change (according to t-service).</w:t>
      </w:r>
    </w:p>
    <w:p w14:paraId="75EC40D4" w14:textId="037FEE5E" w:rsidR="004C10FF" w:rsidRPr="00FB0C19" w:rsidRDefault="004C10FF" w:rsidP="004C10FF">
      <w:pPr>
        <w:jc w:val="center"/>
        <w:rPr>
          <w:lang w:val="da-DK"/>
        </w:rPr>
      </w:pPr>
      <w:r w:rsidRPr="0046570E">
        <w:rPr>
          <w:noProof/>
          <w:lang w:eastAsia="zh-CN"/>
        </w:rPr>
        <w:drawing>
          <wp:inline distT="0" distB="0" distL="0" distR="0" wp14:anchorId="5DE84E9C" wp14:editId="569A35C6">
            <wp:extent cx="2859482" cy="1730287"/>
            <wp:effectExtent l="0" t="0" r="0" b="3810"/>
            <wp:docPr id="1541801232"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1232" name="Picture 1" descr="A diagram of a satellite&#10;&#10;Description automatically generated"/>
                    <pic:cNvPicPr/>
                  </pic:nvPicPr>
                  <pic:blipFill>
                    <a:blip r:embed="rId12"/>
                    <a:stretch>
                      <a:fillRect/>
                    </a:stretch>
                  </pic:blipFill>
                  <pic:spPr>
                    <a:xfrm>
                      <a:off x="0" y="0"/>
                      <a:ext cx="2885560" cy="1746067"/>
                    </a:xfrm>
                    <a:prstGeom prst="rect">
                      <a:avLst/>
                    </a:prstGeom>
                  </pic:spPr>
                </pic:pic>
              </a:graphicData>
            </a:graphic>
          </wp:inline>
        </w:drawing>
      </w:r>
    </w:p>
    <w:p w14:paraId="2CB7836E" w14:textId="6D5F1BF7" w:rsidR="004C10FF" w:rsidRDefault="004C10FF" w:rsidP="00D3454E">
      <w:pPr>
        <w:jc w:val="center"/>
        <w:rPr>
          <w:lang w:val="da-DK" w:eastAsia="zh-CN"/>
        </w:rPr>
      </w:pPr>
      <w:r>
        <w:rPr>
          <w:rFonts w:hint="eastAsia"/>
          <w:lang w:val="da-DK" w:eastAsia="zh-CN"/>
        </w:rPr>
        <w:t xml:space="preserve">Figure 1: </w:t>
      </w:r>
      <w:r w:rsidR="00141A40" w:rsidRPr="00141A40">
        <w:rPr>
          <w:lang w:val="da-DK" w:eastAsia="zh-CN"/>
        </w:rPr>
        <w:t>The UE may not receive all segments from current (earth moving) serving cell</w:t>
      </w:r>
    </w:p>
    <w:p w14:paraId="3C9DFFFF" w14:textId="5A4B08F0" w:rsidR="00FB0C19" w:rsidRDefault="00FB0C19" w:rsidP="00FB0C19">
      <w:pPr>
        <w:rPr>
          <w:lang w:val="da-DK"/>
        </w:rPr>
      </w:pPr>
      <w:r w:rsidRPr="00FB0C19">
        <w:rPr>
          <w:lang w:val="da-DK"/>
        </w:rPr>
        <w:t>If</w:t>
      </w:r>
      <w:r w:rsidR="0056068C">
        <w:rPr>
          <w:lang w:val="da-DK"/>
        </w:rPr>
        <w:t xml:space="preserve"> the legacy mechanism</w:t>
      </w:r>
      <w:r w:rsidR="001E7A4C">
        <w:rPr>
          <w:lang w:val="da-DK"/>
        </w:rPr>
        <w:t xml:space="preserve"> of discarding buffered </w:t>
      </w:r>
      <w:r w:rsidR="00111175">
        <w:rPr>
          <w:lang w:val="da-DK"/>
        </w:rPr>
        <w:t xml:space="preserve">PWS segments upon </w:t>
      </w:r>
      <w:proofErr w:type="spellStart"/>
      <w:r w:rsidR="00111175">
        <w:rPr>
          <w:lang w:val="da-DK"/>
        </w:rPr>
        <w:t>cell</w:t>
      </w:r>
      <w:proofErr w:type="spellEnd"/>
      <w:r w:rsidR="00111175">
        <w:rPr>
          <w:lang w:val="da-DK"/>
        </w:rPr>
        <w:t xml:space="preserve"> </w:t>
      </w:r>
      <w:proofErr w:type="spellStart"/>
      <w:r w:rsidR="00111175">
        <w:rPr>
          <w:lang w:val="da-DK"/>
        </w:rPr>
        <w:t>change</w:t>
      </w:r>
      <w:proofErr w:type="spellEnd"/>
      <w:r w:rsidR="0056068C">
        <w:rPr>
          <w:lang w:val="da-DK"/>
        </w:rPr>
        <w:t xml:space="preserve"> </w:t>
      </w:r>
      <w:r w:rsidR="001E7A4C">
        <w:rPr>
          <w:lang w:val="da-DK"/>
        </w:rPr>
        <w:t xml:space="preserve">is </w:t>
      </w:r>
      <w:proofErr w:type="spellStart"/>
      <w:r w:rsidR="001E7A4C">
        <w:rPr>
          <w:lang w:val="da-DK"/>
        </w:rPr>
        <w:t>followed</w:t>
      </w:r>
      <w:proofErr w:type="spellEnd"/>
      <w:r w:rsidR="00EB6D09">
        <w:rPr>
          <w:lang w:val="da-DK"/>
        </w:rPr>
        <w:t xml:space="preserve">, </w:t>
      </w:r>
      <w:proofErr w:type="spellStart"/>
      <w:r w:rsidR="00EB6D09">
        <w:rPr>
          <w:lang w:val="da-DK"/>
        </w:rPr>
        <w:t>there</w:t>
      </w:r>
      <w:proofErr w:type="spellEnd"/>
      <w:r w:rsidR="00EB6D09">
        <w:rPr>
          <w:lang w:val="da-DK"/>
        </w:rPr>
        <w:t xml:space="preserve"> </w:t>
      </w:r>
      <w:proofErr w:type="spellStart"/>
      <w:r w:rsidR="00EB6D09">
        <w:rPr>
          <w:lang w:val="da-DK"/>
        </w:rPr>
        <w:t>might</w:t>
      </w:r>
      <w:proofErr w:type="spellEnd"/>
      <w:r w:rsidR="00EB6D09">
        <w:rPr>
          <w:lang w:val="da-DK"/>
        </w:rPr>
        <w:t xml:space="preserve"> </w:t>
      </w:r>
      <w:proofErr w:type="spellStart"/>
      <w:r w:rsidR="00C6424F">
        <w:rPr>
          <w:lang w:val="da-DK"/>
        </w:rPr>
        <w:t>be</w:t>
      </w:r>
      <w:proofErr w:type="spellEnd"/>
      <w:r w:rsidR="00EB6D09">
        <w:rPr>
          <w:lang w:val="da-DK"/>
        </w:rPr>
        <w:t xml:space="preserve"> the </w:t>
      </w:r>
      <w:proofErr w:type="spellStart"/>
      <w:r w:rsidR="00EB6D09">
        <w:rPr>
          <w:lang w:val="da-DK"/>
        </w:rPr>
        <w:t>risk</w:t>
      </w:r>
      <w:proofErr w:type="spellEnd"/>
      <w:r w:rsidR="00EB6D09">
        <w:rPr>
          <w:lang w:val="da-DK"/>
        </w:rPr>
        <w:t xml:space="preserve"> of </w:t>
      </w:r>
      <w:r w:rsidR="00E321A0">
        <w:rPr>
          <w:lang w:val="da-DK"/>
        </w:rPr>
        <w:t xml:space="preserve">non-succesful </w:t>
      </w:r>
      <w:proofErr w:type="spellStart"/>
      <w:r w:rsidR="00E321A0">
        <w:rPr>
          <w:lang w:val="da-DK"/>
        </w:rPr>
        <w:t>delivery</w:t>
      </w:r>
      <w:proofErr w:type="spellEnd"/>
      <w:r w:rsidR="00E321A0">
        <w:rPr>
          <w:lang w:val="da-DK"/>
        </w:rPr>
        <w:t xml:space="preserve"> </w:t>
      </w:r>
      <w:r w:rsidR="004E112F">
        <w:rPr>
          <w:lang w:val="da-DK"/>
        </w:rPr>
        <w:t xml:space="preserve">of PWS message due to frequent cell change </w:t>
      </w:r>
      <w:r w:rsidR="007C2F62">
        <w:rPr>
          <w:lang w:val="da-DK"/>
        </w:rPr>
        <w:t>in NTN scenario</w:t>
      </w:r>
      <w:r w:rsidR="00291914">
        <w:rPr>
          <w:lang w:val="da-DK"/>
        </w:rPr>
        <w:t xml:space="preserve">. </w:t>
      </w:r>
      <w:r w:rsidRPr="00FB0C19">
        <w:rPr>
          <w:lang w:val="da-DK"/>
        </w:rPr>
        <w:t xml:space="preserve"> </w:t>
      </w:r>
    </w:p>
    <w:p w14:paraId="3DB19475" w14:textId="47FDEF3D" w:rsidR="000A56A4" w:rsidRPr="00864175" w:rsidRDefault="000A56A4" w:rsidP="000A56A4">
      <w:pPr>
        <w:rPr>
          <w:b/>
          <w:bCs/>
        </w:rPr>
      </w:pPr>
      <w:r>
        <w:rPr>
          <w:b/>
          <w:bCs/>
        </w:rPr>
        <w:t xml:space="preserve">Observation </w:t>
      </w:r>
      <w:r w:rsidR="00CA3137">
        <w:rPr>
          <w:b/>
          <w:bCs/>
          <w:lang w:eastAsia="zh-CN"/>
        </w:rPr>
        <w:t>5</w:t>
      </w:r>
      <w:r>
        <w:rPr>
          <w:b/>
          <w:bCs/>
        </w:rPr>
        <w:t xml:space="preserve">: </w:t>
      </w:r>
      <w:r w:rsidR="00281D61">
        <w:rPr>
          <w:rFonts w:hint="eastAsia"/>
          <w:b/>
          <w:bCs/>
          <w:lang w:eastAsia="zh-CN"/>
        </w:rPr>
        <w:t xml:space="preserve">In NTN, </w:t>
      </w:r>
      <w:r w:rsidR="00CA3137">
        <w:rPr>
          <w:b/>
          <w:bCs/>
          <w:lang w:eastAsia="zh-CN"/>
        </w:rPr>
        <w:t xml:space="preserve">all the segments of </w:t>
      </w:r>
      <w:r w:rsidR="00E466DE">
        <w:rPr>
          <w:rFonts w:hint="eastAsia"/>
          <w:b/>
          <w:bCs/>
          <w:lang w:eastAsia="zh-CN"/>
        </w:rPr>
        <w:t xml:space="preserve">PWS message </w:t>
      </w:r>
      <w:r w:rsidR="00281D61">
        <w:rPr>
          <w:rFonts w:hint="eastAsia"/>
          <w:b/>
          <w:bCs/>
          <w:lang w:eastAsia="zh-CN"/>
        </w:rPr>
        <w:t xml:space="preserve">may not be delivered to UE successfully </w:t>
      </w:r>
      <w:r w:rsidR="00FF6B3F">
        <w:rPr>
          <w:b/>
          <w:bCs/>
          <w:lang w:eastAsia="zh-CN"/>
        </w:rPr>
        <w:t>within</w:t>
      </w:r>
      <w:r w:rsidR="00BD1B67">
        <w:rPr>
          <w:b/>
          <w:bCs/>
          <w:lang w:eastAsia="zh-CN"/>
        </w:rPr>
        <w:t xml:space="preserve"> a single cell</w:t>
      </w:r>
      <w:r w:rsidR="00281D61">
        <w:rPr>
          <w:rFonts w:hint="eastAsia"/>
          <w:b/>
          <w:bCs/>
          <w:lang w:eastAsia="zh-CN"/>
        </w:rPr>
        <w:t xml:space="preserve"> </w:t>
      </w:r>
      <w:r w:rsidR="00CA3137">
        <w:rPr>
          <w:b/>
          <w:bCs/>
          <w:lang w:eastAsia="zh-CN"/>
        </w:rPr>
        <w:t>in moving cell scenario</w:t>
      </w:r>
      <w:r>
        <w:rPr>
          <w:b/>
          <w:bCs/>
        </w:rPr>
        <w:t>.</w:t>
      </w:r>
    </w:p>
    <w:p w14:paraId="4700824C" w14:textId="3F9FF164" w:rsidR="00FD4BBB" w:rsidRDefault="0017582B" w:rsidP="3A90A29A">
      <w:pPr>
        <w:rPr>
          <w:lang w:val="da-DK"/>
        </w:rPr>
      </w:pPr>
      <w:commentRangeStart w:id="18"/>
      <w:r w:rsidRPr="00FB0C19">
        <w:rPr>
          <w:lang w:val="da-DK"/>
        </w:rPr>
        <w:t>Therefore</w:t>
      </w:r>
      <w:r w:rsidR="00AF4872" w:rsidRPr="00FB0C19">
        <w:rPr>
          <w:rFonts w:hint="eastAsia"/>
          <w:lang w:val="da-DK"/>
        </w:rPr>
        <w:t xml:space="preserve">, </w:t>
      </w:r>
      <w:r w:rsidR="00AF4872">
        <w:rPr>
          <w:rFonts w:hint="eastAsia"/>
          <w:lang w:val="da-DK"/>
        </w:rPr>
        <w:t xml:space="preserve">how to support </w:t>
      </w:r>
      <w:r w:rsidRPr="00FB0C19">
        <w:rPr>
          <w:lang w:val="da-DK"/>
        </w:rPr>
        <w:t>PWS segment reception</w:t>
      </w:r>
      <w:r>
        <w:rPr>
          <w:lang w:val="da-DK"/>
        </w:rPr>
        <w:t xml:space="preserve"> in inter-cell scenario </w:t>
      </w:r>
      <w:r w:rsidRPr="00FB0C19">
        <w:rPr>
          <w:lang w:val="da-DK"/>
        </w:rPr>
        <w:t xml:space="preserve">should be </w:t>
      </w:r>
      <w:r>
        <w:rPr>
          <w:lang w:val="da-DK"/>
        </w:rPr>
        <w:t>discussed</w:t>
      </w:r>
      <w:r w:rsidRPr="00FB0C19">
        <w:rPr>
          <w:lang w:val="da-DK"/>
        </w:rPr>
        <w:t xml:space="preserve"> for NTN.</w:t>
      </w:r>
      <w:commentRangeEnd w:id="18"/>
      <w:r>
        <w:rPr>
          <w:rStyle w:val="CommentReference"/>
        </w:rPr>
        <w:commentReference w:id="18"/>
      </w:r>
      <w:r>
        <w:rPr>
          <w:lang w:val="da-DK"/>
        </w:rPr>
        <w:t xml:space="preserve"> The PWS information </w:t>
      </w:r>
      <w:r w:rsidR="00FD4BBB">
        <w:rPr>
          <w:lang w:val="da-DK"/>
        </w:rPr>
        <w:t xml:space="preserve">(SIB11 and SIB12) </w:t>
      </w:r>
      <w:r>
        <w:rPr>
          <w:lang w:val="da-DK"/>
        </w:rPr>
        <w:t xml:space="preserve">already includes a </w:t>
      </w:r>
      <w:r w:rsidR="007A4BC2">
        <w:rPr>
          <w:lang w:val="da-DK"/>
        </w:rPr>
        <w:t xml:space="preserve">message identifier, </w:t>
      </w:r>
      <w:r>
        <w:rPr>
          <w:lang w:val="da-DK"/>
        </w:rPr>
        <w:t>serial number and</w:t>
      </w:r>
      <w:r w:rsidR="00DA3FB0">
        <w:rPr>
          <w:lang w:val="da-DK"/>
        </w:rPr>
        <w:t xml:space="preserve"> segment number</w:t>
      </w:r>
      <w:r w:rsidR="00E804AF">
        <w:rPr>
          <w:lang w:val="da-DK"/>
        </w:rPr>
        <w:t xml:space="preserve">. </w:t>
      </w:r>
    </w:p>
    <w:tbl>
      <w:tblPr>
        <w:tblStyle w:val="TableGrid"/>
        <w:tblW w:w="0" w:type="auto"/>
        <w:tblLook w:val="04A0" w:firstRow="1" w:lastRow="0" w:firstColumn="1" w:lastColumn="0" w:noHBand="0" w:noVBand="1"/>
      </w:tblPr>
      <w:tblGrid>
        <w:gridCol w:w="9631"/>
      </w:tblGrid>
      <w:tr w:rsidR="00FD4BBB" w14:paraId="76B35E6E" w14:textId="77777777" w:rsidTr="00FD4BBB">
        <w:tc>
          <w:tcPr>
            <w:tcW w:w="9631" w:type="dxa"/>
          </w:tcPr>
          <w:p w14:paraId="42F3EF6B" w14:textId="77777777" w:rsidR="00FD4BBB" w:rsidRPr="00494295" w:rsidRDefault="00FD4BBB" w:rsidP="00FD4BB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4295">
              <w:rPr>
                <w:rFonts w:ascii="Arial" w:eastAsia="Times New Roman" w:hAnsi="Arial"/>
                <w:b/>
                <w:bCs/>
                <w:i/>
                <w:iCs/>
                <w:noProof/>
                <w:lang w:eastAsia="ja-JP"/>
              </w:rPr>
              <w:lastRenderedPageBreak/>
              <w:t xml:space="preserve">SystemInformationBlockType11 </w:t>
            </w:r>
            <w:r w:rsidRPr="00494295">
              <w:rPr>
                <w:rFonts w:ascii="Arial" w:eastAsia="Times New Roman" w:hAnsi="Arial"/>
                <w:b/>
                <w:bCs/>
                <w:iCs/>
                <w:noProof/>
                <w:lang w:eastAsia="ja-JP"/>
              </w:rPr>
              <w:t>information element</w:t>
            </w:r>
          </w:p>
          <w:p w14:paraId="2334B051"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ASN1START</w:t>
            </w:r>
          </w:p>
          <w:p w14:paraId="375CE21A"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ACEA6"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SystemInformationBlockType11 ::=</w:t>
            </w:r>
            <w:r w:rsidRPr="00494295">
              <w:rPr>
                <w:rFonts w:ascii="Courier New" w:eastAsia="Times New Roman" w:hAnsi="Courier New"/>
                <w:noProof/>
                <w:sz w:val="16"/>
                <w:lang w:eastAsia="ja-JP"/>
              </w:rPr>
              <w:tab/>
              <w:t>SEQUENCE {</w:t>
            </w:r>
          </w:p>
          <w:p w14:paraId="13B6698F" w14:textId="77777777" w:rsidR="00FD4BBB" w:rsidRPr="00CA3137"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messageIdentifier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57FC4FB7"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serialNumber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058B10BD" w14:textId="77777777" w:rsidR="00FD4BBB" w:rsidRPr="00CA3137"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warningMessageSegmentType</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ENUMERATED {notLastSegment, lastSegment},</w:t>
            </w:r>
          </w:p>
          <w:p w14:paraId="430DD802" w14:textId="77777777" w:rsidR="00FD4BBB" w:rsidRPr="00FD4BBB"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A3137">
              <w:rPr>
                <w:rFonts w:ascii="Courier New" w:eastAsia="Times New Roman" w:hAnsi="Courier New"/>
                <w:noProof/>
                <w:sz w:val="16"/>
                <w:lang w:eastAsia="ja-JP"/>
              </w:rPr>
              <w:tab/>
            </w:r>
            <w:r w:rsidRPr="00FD4BBB">
              <w:rPr>
                <w:rFonts w:ascii="Courier New" w:eastAsia="Times New Roman" w:hAnsi="Courier New"/>
                <w:noProof/>
                <w:sz w:val="16"/>
                <w:highlight w:val="yellow"/>
                <w:lang w:eastAsia="ja-JP"/>
              </w:rPr>
              <w:t>warningMessageSegmentNumber</w:t>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t>INTEGER (0..63),</w:t>
            </w:r>
          </w:p>
          <w:p w14:paraId="0524AB28"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OCTET STRING,</w:t>
            </w:r>
          </w:p>
          <w:p w14:paraId="6AC6DC9E"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dataCodingScheme</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 (SIZE (1))</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r w:rsidRPr="00494295">
              <w:rPr>
                <w:rFonts w:ascii="Courier New" w:eastAsia="Times New Roman" w:hAnsi="Courier New"/>
                <w:noProof/>
                <w:sz w:val="16"/>
                <w:lang w:eastAsia="ja-JP"/>
              </w:rPr>
              <w:tab/>
              <w:t>-- Cond Segment1</w:t>
            </w:r>
          </w:p>
          <w:p w14:paraId="6A0A975A"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w:t>
            </w:r>
          </w:p>
          <w:p w14:paraId="335D3E93"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lateNonCriticalExtension</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p>
          <w:p w14:paraId="1B364FF1"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w:t>
            </w:r>
          </w:p>
          <w:p w14:paraId="0DA58F6B"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7BBE8F" w14:textId="77777777" w:rsidR="00FD4BBB" w:rsidRPr="00494295" w:rsidRDefault="00FD4BBB" w:rsidP="00FD4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ASN1STOP</w:t>
            </w:r>
          </w:p>
          <w:p w14:paraId="1A241E84" w14:textId="77777777" w:rsidR="00FD4BBB" w:rsidRDefault="00FD4BBB" w:rsidP="3A90A29A">
            <w:pPr>
              <w:rPr>
                <w:lang w:val="da-DK"/>
              </w:rPr>
            </w:pPr>
          </w:p>
        </w:tc>
      </w:tr>
    </w:tbl>
    <w:p w14:paraId="01165202" w14:textId="263E4083" w:rsidR="0017582B" w:rsidRDefault="00E804AF" w:rsidP="3A90A29A">
      <w:pPr>
        <w:rPr>
          <w:highlight w:val="yellow"/>
          <w:lang w:val="da-DK" w:eastAsia="zh-CN"/>
        </w:rPr>
      </w:pPr>
      <w:r>
        <w:rPr>
          <w:lang w:val="da-DK"/>
        </w:rPr>
        <w:t xml:space="preserve">Based on this it may be possible for the UE to combine </w:t>
      </w:r>
      <w:r w:rsidR="00CA2435">
        <w:rPr>
          <w:lang w:val="da-DK"/>
        </w:rPr>
        <w:t xml:space="preserve">segments received on two different cells, but </w:t>
      </w:r>
      <w:r w:rsidR="00E81077">
        <w:rPr>
          <w:lang w:val="da-DK"/>
        </w:rPr>
        <w:t xml:space="preserve">there is an inherent risk of the cells not having coordinated transmissions. </w:t>
      </w:r>
      <w:r w:rsidR="00635ED3">
        <w:rPr>
          <w:lang w:val="da-DK"/>
        </w:rPr>
        <w:t xml:space="preserve">Therefore, we think RAN2 can discuss </w:t>
      </w:r>
      <w:r w:rsidR="005012B6">
        <w:rPr>
          <w:lang w:val="da-DK"/>
        </w:rPr>
        <w:t>whether the cells shall indicate to the UE that inter-cell PWS message segment reception is possible.</w:t>
      </w:r>
    </w:p>
    <w:p w14:paraId="15F1FFF5" w14:textId="55988575" w:rsidR="00AF4872" w:rsidRDefault="00AF4872" w:rsidP="00AF4872">
      <w:pPr>
        <w:rPr>
          <w:b/>
          <w:lang w:val="en-US"/>
        </w:rPr>
      </w:pPr>
      <w:r w:rsidRPr="00D5023D">
        <w:rPr>
          <w:b/>
          <w:lang w:val="en-US"/>
        </w:rPr>
        <w:t xml:space="preserve">Proposal </w:t>
      </w:r>
      <w:r>
        <w:rPr>
          <w:rFonts w:hint="eastAsia"/>
          <w:b/>
          <w:lang w:val="en-US" w:eastAsia="zh-CN"/>
        </w:rPr>
        <w:t>3</w:t>
      </w:r>
      <w:r w:rsidRPr="00D5023D">
        <w:rPr>
          <w:b/>
          <w:lang w:val="en-US"/>
        </w:rPr>
        <w:t xml:space="preserve">: </w:t>
      </w:r>
      <w:r>
        <w:rPr>
          <w:rFonts w:hint="eastAsia"/>
          <w:b/>
          <w:lang w:val="en-US" w:eastAsia="zh-CN"/>
        </w:rPr>
        <w:t xml:space="preserve">RAN2 to discuss how to support </w:t>
      </w:r>
      <w:r w:rsidR="00CA3137">
        <w:rPr>
          <w:b/>
          <w:lang w:val="en-US" w:eastAsia="zh-CN"/>
        </w:rPr>
        <w:t>continued reception of PWS segmentation of message in moving cell scenario.</w:t>
      </w:r>
      <w:r>
        <w:rPr>
          <w:b/>
          <w:lang w:val="en-US"/>
        </w:rPr>
        <w:t xml:space="preserve"> </w:t>
      </w:r>
    </w:p>
    <w:p w14:paraId="35CEAE2E" w14:textId="5B1FBE22" w:rsidR="00557057" w:rsidRPr="00F42493" w:rsidRDefault="00557057" w:rsidP="00557057">
      <w:pPr>
        <w:pStyle w:val="Heading2"/>
        <w:rPr>
          <w:lang w:val="da-DK"/>
        </w:rPr>
      </w:pPr>
      <w:r w:rsidRPr="00F42493">
        <w:rPr>
          <w:lang w:val="da-DK"/>
        </w:rPr>
        <w:t>2.</w:t>
      </w:r>
      <w:r>
        <w:rPr>
          <w:rFonts w:hint="eastAsia"/>
          <w:lang w:val="da-DK" w:eastAsia="zh-CN"/>
        </w:rPr>
        <w:t>3</w:t>
      </w:r>
      <w:r w:rsidRPr="00F42493">
        <w:rPr>
          <w:lang w:val="da-DK"/>
        </w:rPr>
        <w:tab/>
      </w:r>
      <w:r>
        <w:rPr>
          <w:lang w:val="en-US" w:eastAsia="ko-KR"/>
        </w:rPr>
        <w:t xml:space="preserve">Support </w:t>
      </w:r>
      <w:r w:rsidRPr="00EC0CC3">
        <w:rPr>
          <w:lang w:val="en-US" w:eastAsia="ko-KR"/>
        </w:rPr>
        <w:t xml:space="preserve">PWS </w:t>
      </w:r>
      <w:r>
        <w:rPr>
          <w:lang w:val="en-US" w:eastAsia="ko-KR"/>
        </w:rPr>
        <w:t>in S&amp;F operation</w:t>
      </w:r>
    </w:p>
    <w:p w14:paraId="7B5E5249" w14:textId="1E87D67B" w:rsidR="00E81E5A" w:rsidRDefault="00E81E5A" w:rsidP="00E81E5A">
      <w:pPr>
        <w:rPr>
          <w:lang w:val="en-US"/>
        </w:rPr>
      </w:pPr>
      <w:r>
        <w:rPr>
          <w:lang w:val="en-US"/>
        </w:rPr>
        <w:t>When the cell capable of store-and-forward operates in normal mode the PWS transmission can be supported for the areas that is under the coverage of the cell at the time of normal mode operation. When the cell switches to S</w:t>
      </w:r>
      <w:r w:rsidR="00A22CAA">
        <w:rPr>
          <w:lang w:val="en-US"/>
        </w:rPr>
        <w:t>&amp;</w:t>
      </w:r>
      <w:r>
        <w:rPr>
          <w:lang w:val="en-US"/>
        </w:rPr>
        <w:t xml:space="preserve">F mode the time of delivery of PWS depends on the actual service area and the time the cell takes to start serving the new service area.  This impacts the delivery time requirements of PWS. </w:t>
      </w:r>
    </w:p>
    <w:p w14:paraId="6C87AE35" w14:textId="03E88E64" w:rsidR="00E81E5A" w:rsidRPr="007A79B9" w:rsidRDefault="00E81E5A" w:rsidP="00E81E5A">
      <w:pPr>
        <w:rPr>
          <w:b/>
          <w:bCs/>
          <w:lang w:val="en-US"/>
        </w:rPr>
      </w:pPr>
      <w:r w:rsidRPr="007A79B9">
        <w:rPr>
          <w:b/>
          <w:bCs/>
          <w:lang w:val="en-US"/>
        </w:rPr>
        <w:t xml:space="preserve">Observation </w:t>
      </w:r>
      <w:r w:rsidR="00CA3137">
        <w:rPr>
          <w:b/>
          <w:bCs/>
          <w:lang w:val="en-US" w:eastAsia="zh-CN"/>
        </w:rPr>
        <w:t>6</w:t>
      </w:r>
      <w:r w:rsidRPr="007A79B9">
        <w:rPr>
          <w:b/>
          <w:bCs/>
          <w:lang w:val="en-US"/>
        </w:rPr>
        <w:t>: PWS delivery when cell operates in S</w:t>
      </w:r>
      <w:r w:rsidR="00A22CAA">
        <w:rPr>
          <w:b/>
          <w:bCs/>
          <w:lang w:val="en-US"/>
        </w:rPr>
        <w:t>&amp;</w:t>
      </w:r>
      <w:r w:rsidRPr="007A79B9">
        <w:rPr>
          <w:b/>
          <w:bCs/>
          <w:lang w:val="en-US"/>
        </w:rPr>
        <w:t>F mode may have impacts on meeting delay requirements of PWS services.</w:t>
      </w:r>
    </w:p>
    <w:p w14:paraId="2C33127A" w14:textId="1813EFA1" w:rsidR="00E81E5A" w:rsidRDefault="00E81E5A" w:rsidP="00E81E5A">
      <w:pPr>
        <w:rPr>
          <w:lang w:val="en-US"/>
        </w:rPr>
      </w:pPr>
      <w:r>
        <w:rPr>
          <w:lang w:val="en-US"/>
        </w:rPr>
        <w:t>From RAN2 perspective the UE capability for S</w:t>
      </w:r>
      <w:r w:rsidR="00A22CAA">
        <w:rPr>
          <w:lang w:val="en-US"/>
        </w:rPr>
        <w:t>&amp;</w:t>
      </w:r>
      <w:r>
        <w:rPr>
          <w:lang w:val="en-US"/>
        </w:rPr>
        <w:t xml:space="preserve">F and PWS support are independent </w:t>
      </w:r>
      <w:proofErr w:type="gramStart"/>
      <w:r>
        <w:rPr>
          <w:lang w:val="en-US"/>
        </w:rPr>
        <w:t>features</w:t>
      </w:r>
      <w:proofErr w:type="gramEnd"/>
      <w:r>
        <w:rPr>
          <w:lang w:val="en-US"/>
        </w:rPr>
        <w:t xml:space="preserve"> and it is up to network implementation to configure these services together. </w:t>
      </w:r>
      <w:proofErr w:type="gramStart"/>
      <w:r>
        <w:rPr>
          <w:lang w:val="en-US"/>
        </w:rPr>
        <w:t>However</w:t>
      </w:r>
      <w:proofErr w:type="gramEnd"/>
      <w:r>
        <w:rPr>
          <w:lang w:val="en-US"/>
        </w:rPr>
        <w:t xml:space="preserve"> whether such support is needed for PWS needs to be decided in SA2 based on service requirements and impacts.</w:t>
      </w:r>
    </w:p>
    <w:p w14:paraId="3E58A976" w14:textId="0BAB4CC7" w:rsidR="00E81E5A" w:rsidRDefault="00E81E5A" w:rsidP="00E81E5A">
      <w:pPr>
        <w:rPr>
          <w:b/>
          <w:bCs/>
          <w:lang w:val="en-US"/>
        </w:rPr>
      </w:pPr>
      <w:r w:rsidRPr="007A79B9">
        <w:rPr>
          <w:b/>
          <w:bCs/>
          <w:lang w:val="en-US"/>
        </w:rPr>
        <w:t xml:space="preserve">Observation </w:t>
      </w:r>
      <w:r w:rsidR="00CA3137">
        <w:rPr>
          <w:b/>
          <w:bCs/>
          <w:lang w:val="en-US" w:eastAsia="zh-CN"/>
        </w:rPr>
        <w:t>7</w:t>
      </w:r>
      <w:r w:rsidRPr="007A79B9">
        <w:rPr>
          <w:b/>
          <w:bCs/>
          <w:lang w:val="en-US"/>
        </w:rPr>
        <w:t>: RAN2 assumes no additional impacts in supporting PWS functionality in S</w:t>
      </w:r>
      <w:r w:rsidR="00C348BA">
        <w:rPr>
          <w:b/>
          <w:bCs/>
          <w:lang w:val="en-US"/>
        </w:rPr>
        <w:t>&amp;</w:t>
      </w:r>
      <w:r w:rsidRPr="007A79B9">
        <w:rPr>
          <w:b/>
          <w:bCs/>
          <w:lang w:val="en-US"/>
        </w:rPr>
        <w:t>F operation.</w:t>
      </w:r>
    </w:p>
    <w:p w14:paraId="6A69F738" w14:textId="6EC707C3" w:rsidR="00E81E5A" w:rsidRPr="007A79B9" w:rsidRDefault="00E81E5A" w:rsidP="00E81E5A">
      <w:pPr>
        <w:rPr>
          <w:lang w:val="en-US"/>
        </w:rPr>
      </w:pPr>
      <w:r w:rsidRPr="007A79B9">
        <w:rPr>
          <w:lang w:val="en-US"/>
        </w:rPr>
        <w:t>Based on the above analysis we propose that support of PWS in S</w:t>
      </w:r>
      <w:r w:rsidR="00C348BA">
        <w:rPr>
          <w:lang w:val="en-US"/>
        </w:rPr>
        <w:t>&amp;</w:t>
      </w:r>
      <w:r w:rsidRPr="007A79B9">
        <w:rPr>
          <w:lang w:val="en-US"/>
        </w:rPr>
        <w:t xml:space="preserve">F operation is decided by SA2. RAN2 can indicate that this can be supported without additional </w:t>
      </w:r>
      <w:proofErr w:type="spellStart"/>
      <w:r w:rsidRPr="007A79B9">
        <w:rPr>
          <w:lang w:val="en-US"/>
        </w:rPr>
        <w:t>signalling</w:t>
      </w:r>
      <w:proofErr w:type="spellEnd"/>
      <w:r w:rsidRPr="007A79B9">
        <w:rPr>
          <w:lang w:val="en-US"/>
        </w:rPr>
        <w:t xml:space="preserve"> impacts</w:t>
      </w:r>
    </w:p>
    <w:p w14:paraId="7E3E19FF" w14:textId="45AD157B" w:rsidR="00E81E5A" w:rsidRPr="007A79B9" w:rsidRDefault="00E81E5A" w:rsidP="00E81E5A">
      <w:pPr>
        <w:rPr>
          <w:b/>
          <w:bCs/>
          <w:lang w:val="en-US"/>
        </w:rPr>
      </w:pPr>
      <w:r w:rsidRPr="007A79B9">
        <w:rPr>
          <w:b/>
          <w:bCs/>
          <w:lang w:val="en-US"/>
        </w:rPr>
        <w:t xml:space="preserve">Proposal </w:t>
      </w:r>
      <w:r w:rsidR="00CA3137">
        <w:rPr>
          <w:b/>
          <w:bCs/>
          <w:lang w:val="en-US" w:eastAsia="zh-CN"/>
        </w:rPr>
        <w:t>4</w:t>
      </w:r>
      <w:r w:rsidRPr="007A79B9">
        <w:rPr>
          <w:b/>
          <w:bCs/>
          <w:lang w:val="en-US"/>
        </w:rPr>
        <w:t>: Support for PWS in SF operation is decided at SA2. RAN2 to decide whether to send LS on this or wait for SA2 decision.</w:t>
      </w:r>
    </w:p>
    <w:p w14:paraId="4B8F2DA6" w14:textId="77777777" w:rsidR="00557057" w:rsidRPr="0038573A" w:rsidRDefault="00557057" w:rsidP="00557057">
      <w:pPr>
        <w:pStyle w:val="Heading2"/>
        <w:rPr>
          <w:lang w:val="en-US" w:eastAsia="ko-KR"/>
        </w:rPr>
      </w:pPr>
      <w:r>
        <w:rPr>
          <w:lang w:val="en-US" w:eastAsia="ko-KR"/>
        </w:rPr>
        <w:t>2.4</w:t>
      </w:r>
      <w:r>
        <w:rPr>
          <w:lang w:val="en-US" w:eastAsia="ko-KR"/>
        </w:rPr>
        <w:tab/>
        <w:t xml:space="preserve">PWS delivery during </w:t>
      </w:r>
      <w:proofErr w:type="spellStart"/>
      <w:r>
        <w:rPr>
          <w:lang w:val="en-US" w:eastAsia="ko-KR"/>
        </w:rPr>
        <w:t>eDRX</w:t>
      </w:r>
      <w:proofErr w:type="spellEnd"/>
      <w:r>
        <w:rPr>
          <w:lang w:val="en-US" w:eastAsia="ko-KR"/>
        </w:rPr>
        <w:t xml:space="preserve"> </w:t>
      </w:r>
    </w:p>
    <w:p w14:paraId="61839098" w14:textId="77777777" w:rsidR="00CA3137" w:rsidRDefault="00557057" w:rsidP="00557057">
      <w:pPr>
        <w:rPr>
          <w:bCs/>
          <w:lang w:val="en-US" w:eastAsia="zh-CN"/>
        </w:rPr>
      </w:pPr>
      <w:proofErr w:type="spellStart"/>
      <w:r w:rsidRPr="008A1AB3">
        <w:rPr>
          <w:bCs/>
          <w:lang w:val="en-US"/>
        </w:rPr>
        <w:t>eDRX</w:t>
      </w:r>
      <w:proofErr w:type="spellEnd"/>
      <w:r w:rsidRPr="008A1AB3">
        <w:rPr>
          <w:bCs/>
          <w:lang w:val="en-US"/>
        </w:rPr>
        <w:t xml:space="preserve"> is a key feature for NB-IoT devices that enhances their power efficiency and extends battery life. This makes </w:t>
      </w:r>
      <w:r>
        <w:rPr>
          <w:bCs/>
          <w:lang w:val="en-US"/>
        </w:rPr>
        <w:t>it</w:t>
      </w:r>
      <w:r w:rsidRPr="008A1AB3">
        <w:rPr>
          <w:bCs/>
          <w:lang w:val="en-US"/>
        </w:rPr>
        <w:t xml:space="preserve"> as a key enabler for NB-IoT in massive IoT deployments.</w:t>
      </w:r>
      <w:r>
        <w:rPr>
          <w:bCs/>
          <w:lang w:val="en-US"/>
        </w:rPr>
        <w:t xml:space="preserve"> </w:t>
      </w:r>
      <w:r w:rsidR="0038783D">
        <w:rPr>
          <w:rFonts w:hint="eastAsia"/>
          <w:bCs/>
          <w:lang w:val="en-US" w:eastAsia="zh-CN"/>
        </w:rPr>
        <w:t>T</w:t>
      </w:r>
      <w:r>
        <w:rPr>
          <w:bCs/>
          <w:lang w:val="en-US" w:eastAsia="zh-CN"/>
        </w:rPr>
        <w:t xml:space="preserve">o further reduce the energy consumption for paging monitoring towards a UE configured with </w:t>
      </w:r>
      <w:proofErr w:type="spellStart"/>
      <w:r>
        <w:rPr>
          <w:bCs/>
          <w:lang w:val="en-US" w:eastAsia="zh-CN"/>
        </w:rPr>
        <w:t>eDRX</w:t>
      </w:r>
      <w:proofErr w:type="spellEnd"/>
      <w:r>
        <w:rPr>
          <w:bCs/>
          <w:lang w:val="en-US" w:eastAsia="zh-CN"/>
        </w:rPr>
        <w:t>, the wake-up signals (WUS) feature can be used. The typical scenario is that NW configure a s</w:t>
      </w:r>
      <w:r w:rsidRPr="00F064B5">
        <w:rPr>
          <w:bCs/>
          <w:lang w:val="en-US" w:eastAsia="zh-CN"/>
        </w:rPr>
        <w:t xml:space="preserve">hort </w:t>
      </w:r>
      <w:proofErr w:type="spellStart"/>
      <w:r w:rsidRPr="00F064B5">
        <w:rPr>
          <w:bCs/>
          <w:lang w:val="en-US" w:eastAsia="zh-CN"/>
        </w:rPr>
        <w:t>eDRX</w:t>
      </w:r>
      <w:proofErr w:type="spellEnd"/>
      <w:r w:rsidRPr="00F064B5">
        <w:rPr>
          <w:bCs/>
          <w:lang w:val="en-US" w:eastAsia="zh-CN"/>
        </w:rPr>
        <w:t xml:space="preserve"> cycle configurations</w:t>
      </w:r>
      <w:r>
        <w:rPr>
          <w:bCs/>
          <w:lang w:val="en-US" w:eastAsia="zh-CN"/>
        </w:rPr>
        <w:t xml:space="preserve"> to UE to support the case </w:t>
      </w:r>
      <w:r w:rsidRPr="00F064B5">
        <w:rPr>
          <w:bCs/>
          <w:lang w:val="en-US" w:eastAsia="zh-CN"/>
        </w:rPr>
        <w:t xml:space="preserve">where the network command expects </w:t>
      </w:r>
      <w:r>
        <w:rPr>
          <w:bCs/>
          <w:lang w:val="en-US" w:eastAsia="zh-CN"/>
        </w:rPr>
        <w:t xml:space="preserve">a </w:t>
      </w:r>
      <w:r w:rsidRPr="00F064B5">
        <w:rPr>
          <w:bCs/>
          <w:lang w:val="en-US" w:eastAsia="zh-CN"/>
        </w:rPr>
        <w:t xml:space="preserve">UE response within specific duration. </w:t>
      </w:r>
    </w:p>
    <w:p w14:paraId="79E95B1F" w14:textId="51597945" w:rsidR="00381C82" w:rsidRDefault="00381C82" w:rsidP="00557057">
      <w:pPr>
        <w:rPr>
          <w:bCs/>
          <w:lang w:val="en-US" w:eastAsia="zh-CN"/>
        </w:rPr>
      </w:pPr>
      <w:r w:rsidRPr="00D1354D">
        <w:rPr>
          <w:b/>
          <w:lang w:val="en-US" w:eastAsia="zh-CN"/>
        </w:rPr>
        <w:t xml:space="preserve">Observation </w:t>
      </w:r>
      <w:r>
        <w:rPr>
          <w:b/>
          <w:lang w:val="en-US" w:eastAsia="zh-CN"/>
        </w:rPr>
        <w:t>7</w:t>
      </w:r>
      <w:r w:rsidRPr="00D1354D">
        <w:rPr>
          <w:b/>
          <w:lang w:val="en-US" w:eastAsia="zh-CN"/>
        </w:rPr>
        <w:t>:</w:t>
      </w:r>
      <w:r>
        <w:rPr>
          <w:b/>
          <w:lang w:val="en-US" w:eastAsia="zh-CN"/>
        </w:rPr>
        <w:t xml:space="preserve"> WUS configuration helps to minimize downlink monitoring related energy consumption for UE configured with shorter </w:t>
      </w:r>
      <w:proofErr w:type="spellStart"/>
      <w:r>
        <w:rPr>
          <w:b/>
          <w:lang w:val="en-US" w:eastAsia="zh-CN"/>
        </w:rPr>
        <w:t>eDRX</w:t>
      </w:r>
      <w:proofErr w:type="spellEnd"/>
      <w:r>
        <w:rPr>
          <w:b/>
          <w:lang w:val="en-US" w:eastAsia="zh-CN"/>
        </w:rPr>
        <w:t xml:space="preserve"> cycle.</w:t>
      </w:r>
    </w:p>
    <w:p w14:paraId="1E5A73D9" w14:textId="1568F9EC" w:rsidR="00557057" w:rsidRDefault="00557057" w:rsidP="00557057">
      <w:pPr>
        <w:rPr>
          <w:bCs/>
          <w:lang w:val="en-US" w:eastAsia="zh-CN"/>
        </w:rPr>
      </w:pPr>
      <w:r>
        <w:rPr>
          <w:bCs/>
          <w:lang w:val="en-US" w:eastAsia="zh-CN"/>
        </w:rPr>
        <w:t>However, if PWS is supported and the transmission is indicated via paging messages (NB-IoT paging) or direct indication information message, it may wake-up all the UEs in the satellite coverage area if the current WUS is used. For PWS scheduling in resource and energy efficient manner use of separate WUS for PWS services can be considered.</w:t>
      </w:r>
    </w:p>
    <w:p w14:paraId="14A453F2" w14:textId="77777777" w:rsidR="00381C82" w:rsidRDefault="00381C82" w:rsidP="00381C82">
      <w:pPr>
        <w:rPr>
          <w:b/>
          <w:lang w:val="en-US" w:eastAsia="zh-CN"/>
        </w:rPr>
      </w:pPr>
      <w:r w:rsidRPr="00D1354D">
        <w:rPr>
          <w:b/>
          <w:lang w:val="en-US" w:eastAsia="zh-CN"/>
        </w:rPr>
        <w:t>Observation 8:</w:t>
      </w:r>
      <w:r>
        <w:rPr>
          <w:b/>
          <w:lang w:val="en-US" w:eastAsia="zh-CN"/>
        </w:rPr>
        <w:t xml:space="preserve"> </w:t>
      </w:r>
      <w:r w:rsidRPr="00D1354D">
        <w:rPr>
          <w:b/>
          <w:lang w:val="en-US" w:eastAsia="zh-CN"/>
        </w:rPr>
        <w:t>When WUS is configured in NB-IoT cell, the PWS transmission may false wake-up all the UE outside the PWS service area resulting in reducing the overall efficiency of WUS benefits.</w:t>
      </w:r>
    </w:p>
    <w:p w14:paraId="5E355D91" w14:textId="18E27A58" w:rsidR="00381C82" w:rsidRPr="001B397D" w:rsidRDefault="00381C82" w:rsidP="00381C82">
      <w:pPr>
        <w:rPr>
          <w:bCs/>
          <w:lang w:val="en-US" w:eastAsia="zh-CN"/>
        </w:rPr>
      </w:pPr>
      <w:r w:rsidRPr="001B397D">
        <w:rPr>
          <w:bCs/>
          <w:lang w:val="en-US" w:eastAsia="zh-CN"/>
        </w:rPr>
        <w:lastRenderedPageBreak/>
        <w:t xml:space="preserve">The false wake-up problem of PWS for NB-IoT UE is specific problem for NTN where the cell coverage will be larger than PWS service area. </w:t>
      </w:r>
      <w:proofErr w:type="gramStart"/>
      <w:r w:rsidRPr="001B397D">
        <w:rPr>
          <w:bCs/>
          <w:lang w:val="en-US" w:eastAsia="zh-CN"/>
        </w:rPr>
        <w:t>Hence</w:t>
      </w:r>
      <w:proofErr w:type="gramEnd"/>
      <w:r w:rsidRPr="001B397D">
        <w:rPr>
          <w:bCs/>
          <w:lang w:val="en-US" w:eastAsia="zh-CN"/>
        </w:rPr>
        <w:t xml:space="preserve"> we propose RAN2 to investigate the impacts of PWS on WUS efficiency and identify need for changes.</w:t>
      </w:r>
    </w:p>
    <w:p w14:paraId="3E9241BC" w14:textId="77777777" w:rsidR="00381C82" w:rsidRDefault="00381C82" w:rsidP="00557057">
      <w:pPr>
        <w:rPr>
          <w:bCs/>
          <w:lang w:val="en-US" w:eastAsia="zh-CN"/>
        </w:rPr>
      </w:pPr>
    </w:p>
    <w:p w14:paraId="0F1B1A83" w14:textId="7F592B03" w:rsidR="00557057" w:rsidRPr="007A79B9" w:rsidRDefault="00557057" w:rsidP="00557057">
      <w:pPr>
        <w:rPr>
          <w:b/>
          <w:lang w:val="en-US" w:eastAsia="zh-CN"/>
        </w:rPr>
      </w:pPr>
      <w:r w:rsidRPr="007A79B9">
        <w:rPr>
          <w:b/>
          <w:lang w:val="en-US" w:eastAsia="zh-CN"/>
        </w:rPr>
        <w:t xml:space="preserve">Proposal </w:t>
      </w:r>
      <w:r w:rsidR="00381C82">
        <w:rPr>
          <w:b/>
          <w:lang w:val="en-US" w:eastAsia="zh-CN"/>
        </w:rPr>
        <w:t>5</w:t>
      </w:r>
      <w:r w:rsidRPr="007A79B9">
        <w:rPr>
          <w:b/>
          <w:lang w:val="en-US" w:eastAsia="zh-CN"/>
        </w:rPr>
        <w:t xml:space="preserve">: RAN2 to </w:t>
      </w:r>
      <w:r w:rsidR="00381C82">
        <w:rPr>
          <w:b/>
          <w:lang w:val="en-US" w:eastAsia="zh-CN"/>
        </w:rPr>
        <w:t>investigate the false wake-up issue for PWS transmission for WUS configuration in NB-IoT-NTN</w:t>
      </w:r>
      <w:r w:rsidRPr="007A79B9">
        <w:rPr>
          <w:b/>
          <w:lang w:val="en-US" w:eastAsia="zh-CN"/>
        </w:rPr>
        <w:t>.</w:t>
      </w:r>
    </w:p>
    <w:p w14:paraId="16CB5684" w14:textId="77777777" w:rsidR="008B549E" w:rsidRPr="006E13D1" w:rsidRDefault="008B549E" w:rsidP="008B549E">
      <w:pPr>
        <w:pStyle w:val="Heading1"/>
      </w:pPr>
      <w:r>
        <w:t>3</w:t>
      </w:r>
      <w:r w:rsidRPr="006E13D1">
        <w:tab/>
      </w:r>
      <w:r>
        <w:t>Conclusion</w:t>
      </w:r>
    </w:p>
    <w:p w14:paraId="2CC8FDF5" w14:textId="663A2940" w:rsidR="005A5991" w:rsidRDefault="005A5991" w:rsidP="005A5991">
      <w:pPr>
        <w:rPr>
          <w:b/>
          <w:lang w:val="en-US" w:eastAsia="zh-CN"/>
        </w:rPr>
      </w:pPr>
      <w:r>
        <w:rPr>
          <w:b/>
          <w:u w:val="single"/>
          <w:lang w:val="en-US" w:eastAsia="zh-CN"/>
        </w:rPr>
        <w:t>ETWS Changes for area notification in NB-IoT NTN</w:t>
      </w:r>
    </w:p>
    <w:p w14:paraId="4ACD6033" w14:textId="1F85E306" w:rsidR="00381C82" w:rsidRPr="001B397D" w:rsidRDefault="00381C82" w:rsidP="00381C82">
      <w:pPr>
        <w:rPr>
          <w:i/>
          <w:iCs/>
          <w:lang w:val="en-US" w:eastAsia="zh-CN"/>
        </w:rPr>
      </w:pPr>
      <w:r w:rsidRPr="001B397D">
        <w:rPr>
          <w:i/>
          <w:iCs/>
          <w:lang w:val="en-US" w:eastAsia="zh-CN"/>
        </w:rPr>
        <w:t>Observation 1: According to SA1, ETWS-capable UE shall present the ETWS notification if the UE is able to determine it is within the Warning Notification Area or when the UE is unable to determine its location.</w:t>
      </w:r>
    </w:p>
    <w:p w14:paraId="76305B87" w14:textId="77777777" w:rsidR="00381C82" w:rsidRDefault="00381C82" w:rsidP="00381C82">
      <w:pPr>
        <w:rPr>
          <w:b/>
          <w:bCs/>
          <w:lang w:val="en-US" w:eastAsia="zh-CN"/>
        </w:rPr>
      </w:pPr>
      <w:r w:rsidRPr="00173E7A">
        <w:rPr>
          <w:rFonts w:hint="eastAsia"/>
          <w:b/>
          <w:bCs/>
          <w:lang w:val="en-US" w:eastAsia="zh-CN"/>
        </w:rPr>
        <w:t>Proposal</w:t>
      </w:r>
      <w:r w:rsidRPr="00173E7A">
        <w:rPr>
          <w:b/>
          <w:bCs/>
          <w:lang w:val="en-US" w:eastAsia="zh-CN"/>
        </w:rPr>
        <w:t xml:space="preserve"> </w:t>
      </w:r>
      <w:r w:rsidRPr="00173E7A">
        <w:rPr>
          <w:rFonts w:hint="eastAsia"/>
          <w:b/>
          <w:bCs/>
          <w:lang w:val="en-US" w:eastAsia="zh-CN"/>
        </w:rPr>
        <w:t>1</w:t>
      </w:r>
      <w:r w:rsidRPr="00173E7A">
        <w:rPr>
          <w:b/>
          <w:bCs/>
          <w:lang w:val="en-US" w:eastAsia="zh-CN"/>
        </w:rPr>
        <w:t xml:space="preserve">: </w:t>
      </w:r>
      <w:r w:rsidRPr="00173E7A">
        <w:rPr>
          <w:rFonts w:hint="eastAsia"/>
          <w:b/>
          <w:bCs/>
          <w:lang w:val="en-US" w:eastAsia="zh-CN"/>
        </w:rPr>
        <w:t>RAN2 to confirm that, the g</w:t>
      </w:r>
      <w:r w:rsidRPr="00173E7A">
        <w:rPr>
          <w:b/>
          <w:bCs/>
          <w:lang w:val="en-US" w:eastAsia="zh-CN"/>
        </w:rPr>
        <w:t xml:space="preserve">eofencing </w:t>
      </w:r>
      <w:r>
        <w:rPr>
          <w:b/>
          <w:bCs/>
          <w:lang w:val="en-US" w:eastAsia="zh-CN"/>
        </w:rPr>
        <w:t>information of</w:t>
      </w:r>
      <w:r w:rsidRPr="00173E7A">
        <w:rPr>
          <w:rFonts w:hint="eastAsia"/>
          <w:b/>
          <w:bCs/>
          <w:lang w:val="en-US" w:eastAsia="zh-CN"/>
        </w:rPr>
        <w:t xml:space="preserve"> </w:t>
      </w:r>
      <w:r>
        <w:rPr>
          <w:b/>
          <w:bCs/>
          <w:lang w:val="en-US" w:eastAsia="zh-CN"/>
        </w:rPr>
        <w:t xml:space="preserve">the </w:t>
      </w:r>
      <w:r w:rsidRPr="00173E7A">
        <w:rPr>
          <w:rFonts w:hint="eastAsia"/>
          <w:b/>
          <w:bCs/>
          <w:lang w:val="en-US" w:eastAsia="zh-CN"/>
        </w:rPr>
        <w:t xml:space="preserve">intended area should be supported </w:t>
      </w:r>
      <w:r w:rsidRPr="00173E7A">
        <w:rPr>
          <w:b/>
          <w:bCs/>
          <w:lang w:val="en-US" w:eastAsia="zh-CN"/>
        </w:rPr>
        <w:t>for ETWS</w:t>
      </w:r>
      <w:r w:rsidRPr="00173E7A">
        <w:rPr>
          <w:rFonts w:hint="eastAsia"/>
          <w:b/>
          <w:bCs/>
          <w:lang w:val="en-US" w:eastAsia="zh-CN"/>
        </w:rPr>
        <w:t xml:space="preserve"> over IoT NTN</w:t>
      </w:r>
      <w:r w:rsidRPr="00173E7A">
        <w:rPr>
          <w:b/>
          <w:bCs/>
          <w:lang w:val="en-US" w:eastAsia="zh-CN"/>
        </w:rPr>
        <w:t>.</w:t>
      </w:r>
    </w:p>
    <w:p w14:paraId="2CABA9B5" w14:textId="77777777" w:rsidR="00381C82" w:rsidRPr="001B397D" w:rsidRDefault="00381C82" w:rsidP="00381C82">
      <w:pPr>
        <w:rPr>
          <w:i/>
          <w:iCs/>
        </w:rPr>
      </w:pPr>
      <w:r w:rsidRPr="001B397D">
        <w:rPr>
          <w:i/>
          <w:iCs/>
        </w:rPr>
        <w:t xml:space="preserve">Observation </w:t>
      </w:r>
      <w:r w:rsidRPr="001B397D">
        <w:rPr>
          <w:i/>
          <w:iCs/>
          <w:lang w:eastAsia="zh-CN"/>
        </w:rPr>
        <w:t>2</w:t>
      </w:r>
      <w:r w:rsidRPr="001B397D">
        <w:rPr>
          <w:i/>
          <w:iCs/>
        </w:rPr>
        <w:t>: ETWS area is likely to cover a smaller area than NTN cell’s footprint.</w:t>
      </w:r>
    </w:p>
    <w:p w14:paraId="509A41F8" w14:textId="77777777" w:rsidR="00381C82" w:rsidRPr="001B397D" w:rsidRDefault="00381C82" w:rsidP="00381C82">
      <w:pPr>
        <w:rPr>
          <w:i/>
          <w:iCs/>
        </w:rPr>
      </w:pPr>
      <w:r w:rsidRPr="001B397D">
        <w:rPr>
          <w:i/>
          <w:iCs/>
        </w:rPr>
        <w:t xml:space="preserve">Observation </w:t>
      </w:r>
      <w:r w:rsidRPr="001B397D">
        <w:rPr>
          <w:i/>
          <w:iCs/>
          <w:lang w:eastAsia="zh-CN"/>
        </w:rPr>
        <w:t>3</w:t>
      </w:r>
      <w:r w:rsidRPr="001B397D">
        <w:rPr>
          <w:i/>
          <w:iCs/>
        </w:rPr>
        <w:t>: It is beneficial if UEs outside of the ETWS area but located within the same NTN cell (i.e. receiving the same System Information) are not alerted.</w:t>
      </w:r>
    </w:p>
    <w:p w14:paraId="184FA826" w14:textId="153507FD" w:rsidR="00381C82" w:rsidRDefault="00381C82" w:rsidP="00381C82">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sidRPr="00416EC3">
        <w:rPr>
          <w:b/>
          <w:lang w:val="en-US" w:eastAsia="zh-CN"/>
        </w:rPr>
        <w:t>Wait for NR NTN's conclusion to determine the solution for indicating the intended service area for ETWS over IoT NTN</w:t>
      </w:r>
    </w:p>
    <w:p w14:paraId="5F93AFEB" w14:textId="42921481" w:rsidR="005A5991" w:rsidRDefault="005A5991" w:rsidP="00381C82">
      <w:pPr>
        <w:rPr>
          <w:b/>
          <w:lang w:val="en-US" w:eastAsia="zh-CN"/>
        </w:rPr>
      </w:pPr>
      <w:r w:rsidRPr="00D1354D">
        <w:rPr>
          <w:b/>
          <w:u w:val="single"/>
          <w:lang w:val="en-US" w:eastAsia="zh-CN"/>
        </w:rPr>
        <w:t xml:space="preserve">PWS </w:t>
      </w:r>
      <w:r>
        <w:rPr>
          <w:b/>
          <w:u w:val="single"/>
          <w:lang w:val="en-US" w:eastAsia="zh-CN"/>
        </w:rPr>
        <w:t>reception in moving cell scenario</w:t>
      </w:r>
    </w:p>
    <w:p w14:paraId="05AB8A32" w14:textId="77777777" w:rsidR="00381C82" w:rsidRPr="001B397D" w:rsidRDefault="00381C82" w:rsidP="00381C82">
      <w:pPr>
        <w:rPr>
          <w:i/>
          <w:iCs/>
        </w:rPr>
      </w:pPr>
      <w:r w:rsidRPr="001B397D">
        <w:rPr>
          <w:i/>
          <w:iCs/>
        </w:rPr>
        <w:t xml:space="preserve">Observation </w:t>
      </w:r>
      <w:r w:rsidRPr="001B397D">
        <w:rPr>
          <w:i/>
          <w:iCs/>
          <w:lang w:eastAsia="zh-CN"/>
        </w:rPr>
        <w:t>4</w:t>
      </w:r>
      <w:r w:rsidRPr="001B397D">
        <w:rPr>
          <w:i/>
          <w:iCs/>
        </w:rPr>
        <w:t xml:space="preserve">: </w:t>
      </w:r>
      <w:r w:rsidRPr="001B397D">
        <w:rPr>
          <w:i/>
          <w:iCs/>
          <w:lang w:eastAsia="zh-CN"/>
        </w:rPr>
        <w:t>In legacy, the PWS message segmentation feature is only supported for the intra-cell scenario</w:t>
      </w:r>
      <w:r w:rsidRPr="001B397D">
        <w:rPr>
          <w:i/>
          <w:iCs/>
        </w:rPr>
        <w:t>.</w:t>
      </w:r>
    </w:p>
    <w:p w14:paraId="20E14435" w14:textId="77777777" w:rsidR="00381C82" w:rsidRPr="001B397D" w:rsidRDefault="00381C82" w:rsidP="00381C82">
      <w:pPr>
        <w:rPr>
          <w:i/>
          <w:iCs/>
        </w:rPr>
      </w:pPr>
      <w:r w:rsidRPr="001B397D">
        <w:rPr>
          <w:i/>
          <w:iCs/>
        </w:rPr>
        <w:t xml:space="preserve">Observation </w:t>
      </w:r>
      <w:r w:rsidRPr="001B397D">
        <w:rPr>
          <w:i/>
          <w:iCs/>
          <w:lang w:eastAsia="zh-CN"/>
        </w:rPr>
        <w:t>5</w:t>
      </w:r>
      <w:r w:rsidRPr="001B397D">
        <w:rPr>
          <w:i/>
          <w:iCs/>
        </w:rPr>
        <w:t xml:space="preserve">: </w:t>
      </w:r>
      <w:r w:rsidRPr="001B397D">
        <w:rPr>
          <w:i/>
          <w:iCs/>
          <w:lang w:eastAsia="zh-CN"/>
        </w:rPr>
        <w:t>In NTN, all the segments of PWS message may not be delivered to UE successfully within a single cell in moving cell scenario</w:t>
      </w:r>
      <w:r w:rsidRPr="001B397D">
        <w:rPr>
          <w:i/>
          <w:iCs/>
        </w:rPr>
        <w:t>.</w:t>
      </w:r>
    </w:p>
    <w:p w14:paraId="7D0266E3" w14:textId="77777777" w:rsidR="00381C82" w:rsidRDefault="00381C82" w:rsidP="00381C82">
      <w:pPr>
        <w:rPr>
          <w:b/>
          <w:lang w:val="en-US"/>
        </w:rPr>
      </w:pPr>
      <w:r w:rsidRPr="00D5023D">
        <w:rPr>
          <w:b/>
          <w:lang w:val="en-US"/>
        </w:rPr>
        <w:t xml:space="preserve">Proposal </w:t>
      </w:r>
      <w:r>
        <w:rPr>
          <w:rFonts w:hint="eastAsia"/>
          <w:b/>
          <w:lang w:val="en-US" w:eastAsia="zh-CN"/>
        </w:rPr>
        <w:t>3</w:t>
      </w:r>
      <w:r w:rsidRPr="00D5023D">
        <w:rPr>
          <w:b/>
          <w:lang w:val="en-US"/>
        </w:rPr>
        <w:t xml:space="preserve">: </w:t>
      </w:r>
      <w:r>
        <w:rPr>
          <w:rFonts w:hint="eastAsia"/>
          <w:b/>
          <w:lang w:val="en-US" w:eastAsia="zh-CN"/>
        </w:rPr>
        <w:t xml:space="preserve">RAN2 to discuss how to support </w:t>
      </w:r>
      <w:r>
        <w:rPr>
          <w:b/>
          <w:lang w:val="en-US" w:eastAsia="zh-CN"/>
        </w:rPr>
        <w:t>continued reception of PWS segmentation of message in moving cell scenario.</w:t>
      </w:r>
      <w:r>
        <w:rPr>
          <w:b/>
          <w:lang w:val="en-US"/>
        </w:rPr>
        <w:t xml:space="preserve"> </w:t>
      </w:r>
    </w:p>
    <w:p w14:paraId="632A82BC" w14:textId="764FEDAE" w:rsidR="005A5991" w:rsidRDefault="005A5991" w:rsidP="00381C82">
      <w:pPr>
        <w:rPr>
          <w:b/>
          <w:lang w:val="en-US"/>
        </w:rPr>
      </w:pPr>
      <w:r w:rsidRPr="00D1354D">
        <w:rPr>
          <w:b/>
          <w:u w:val="single"/>
          <w:lang w:val="en-US" w:eastAsia="zh-CN"/>
        </w:rPr>
        <w:t xml:space="preserve">PWS </w:t>
      </w:r>
      <w:r>
        <w:rPr>
          <w:b/>
          <w:u w:val="single"/>
          <w:lang w:val="en-US" w:eastAsia="zh-CN"/>
        </w:rPr>
        <w:t>Support in SF mode</w:t>
      </w:r>
    </w:p>
    <w:p w14:paraId="77F46DD1" w14:textId="77777777" w:rsidR="005A5991" w:rsidRPr="001B397D" w:rsidRDefault="005A5991" w:rsidP="005A5991">
      <w:pPr>
        <w:rPr>
          <w:i/>
          <w:iCs/>
          <w:lang w:val="en-US"/>
        </w:rPr>
      </w:pPr>
      <w:r w:rsidRPr="001B397D">
        <w:rPr>
          <w:i/>
          <w:iCs/>
          <w:lang w:val="en-US"/>
        </w:rPr>
        <w:t xml:space="preserve">Observation </w:t>
      </w:r>
      <w:r w:rsidRPr="001B397D">
        <w:rPr>
          <w:i/>
          <w:iCs/>
          <w:lang w:val="en-US" w:eastAsia="zh-CN"/>
        </w:rPr>
        <w:t>6</w:t>
      </w:r>
      <w:r w:rsidRPr="001B397D">
        <w:rPr>
          <w:i/>
          <w:iCs/>
          <w:lang w:val="en-US"/>
        </w:rPr>
        <w:t>: PWS delivery when cell operates in S&amp;F mode may have impacts on meeting delay requirements of PWS services.</w:t>
      </w:r>
    </w:p>
    <w:p w14:paraId="7725DEC3" w14:textId="77777777" w:rsidR="005A5991" w:rsidRPr="001B397D" w:rsidRDefault="005A5991" w:rsidP="005A5991">
      <w:pPr>
        <w:rPr>
          <w:i/>
          <w:iCs/>
          <w:lang w:val="en-US"/>
        </w:rPr>
      </w:pPr>
      <w:r w:rsidRPr="001B397D">
        <w:rPr>
          <w:i/>
          <w:iCs/>
          <w:lang w:val="en-US"/>
        </w:rPr>
        <w:t xml:space="preserve">Observation </w:t>
      </w:r>
      <w:r w:rsidRPr="001B397D">
        <w:rPr>
          <w:i/>
          <w:iCs/>
          <w:lang w:val="en-US" w:eastAsia="zh-CN"/>
        </w:rPr>
        <w:t>7</w:t>
      </w:r>
      <w:r w:rsidRPr="001B397D">
        <w:rPr>
          <w:i/>
          <w:iCs/>
          <w:lang w:val="en-US"/>
        </w:rPr>
        <w:t>: RAN2 assumes no additional impacts in supporting PWS functionality in S&amp;F operation.</w:t>
      </w:r>
    </w:p>
    <w:p w14:paraId="02DFD827" w14:textId="77777777" w:rsidR="005A5991" w:rsidRPr="007A79B9" w:rsidRDefault="005A5991" w:rsidP="005A5991">
      <w:pPr>
        <w:rPr>
          <w:b/>
          <w:bCs/>
          <w:lang w:val="en-US"/>
        </w:rPr>
      </w:pPr>
      <w:r w:rsidRPr="007A79B9">
        <w:rPr>
          <w:b/>
          <w:bCs/>
          <w:lang w:val="en-US"/>
        </w:rPr>
        <w:t xml:space="preserve">Proposal </w:t>
      </w:r>
      <w:r>
        <w:rPr>
          <w:b/>
          <w:bCs/>
          <w:lang w:val="en-US" w:eastAsia="zh-CN"/>
        </w:rPr>
        <w:t>4</w:t>
      </w:r>
      <w:r w:rsidRPr="007A79B9">
        <w:rPr>
          <w:b/>
          <w:bCs/>
          <w:lang w:val="en-US"/>
        </w:rPr>
        <w:t>: Support for PWS in SF operation is decided at SA2. RAN2 to decide whether to send LS on this or wait for SA2 decision.</w:t>
      </w:r>
    </w:p>
    <w:p w14:paraId="12BEDD9F" w14:textId="13E78E8E" w:rsidR="005A5991" w:rsidRPr="001B397D" w:rsidRDefault="005A5991" w:rsidP="005A5991">
      <w:pPr>
        <w:rPr>
          <w:b/>
          <w:u w:val="single"/>
          <w:lang w:val="en-US" w:eastAsia="zh-CN"/>
        </w:rPr>
      </w:pPr>
      <w:r w:rsidRPr="001B397D">
        <w:rPr>
          <w:b/>
          <w:u w:val="single"/>
          <w:lang w:val="en-US" w:eastAsia="zh-CN"/>
        </w:rPr>
        <w:t xml:space="preserve">WUS Efficiency Impacts for PWS Transmission </w:t>
      </w:r>
    </w:p>
    <w:p w14:paraId="607406A4" w14:textId="27C38480" w:rsidR="005A5991" w:rsidRPr="001B397D" w:rsidRDefault="005A5991" w:rsidP="005A5991">
      <w:pPr>
        <w:rPr>
          <w:bCs/>
          <w:i/>
          <w:iCs/>
          <w:lang w:val="en-US" w:eastAsia="zh-CN"/>
        </w:rPr>
      </w:pPr>
      <w:r w:rsidRPr="001B397D">
        <w:rPr>
          <w:bCs/>
          <w:i/>
          <w:iCs/>
          <w:lang w:val="en-US" w:eastAsia="zh-CN"/>
        </w:rPr>
        <w:t xml:space="preserve">Observation 7: WUS configuration helps to minimize downlink monitoring related energy consumption for UE configured with shorter </w:t>
      </w:r>
      <w:proofErr w:type="spellStart"/>
      <w:r w:rsidRPr="001B397D">
        <w:rPr>
          <w:bCs/>
          <w:i/>
          <w:iCs/>
          <w:lang w:val="en-US" w:eastAsia="zh-CN"/>
        </w:rPr>
        <w:t>eDRX</w:t>
      </w:r>
      <w:proofErr w:type="spellEnd"/>
      <w:r w:rsidRPr="001B397D">
        <w:rPr>
          <w:bCs/>
          <w:i/>
          <w:iCs/>
          <w:lang w:val="en-US" w:eastAsia="zh-CN"/>
        </w:rPr>
        <w:t xml:space="preserve"> cycle.</w:t>
      </w:r>
    </w:p>
    <w:p w14:paraId="5E2F9D71" w14:textId="77777777" w:rsidR="005A5991" w:rsidRPr="001B397D" w:rsidRDefault="005A5991" w:rsidP="005A5991">
      <w:pPr>
        <w:rPr>
          <w:bCs/>
          <w:i/>
          <w:iCs/>
          <w:lang w:val="en-US" w:eastAsia="zh-CN"/>
        </w:rPr>
      </w:pPr>
      <w:r w:rsidRPr="001B397D">
        <w:rPr>
          <w:bCs/>
          <w:i/>
          <w:iCs/>
          <w:lang w:val="en-US" w:eastAsia="zh-CN"/>
        </w:rPr>
        <w:t>Observation 8: When WUS is configured in NB-IoT cell, the PWS transmission may false wake-up all the UE outside the PWS service area resulting in reducing the overall efficiency of WUS benefits.</w:t>
      </w:r>
    </w:p>
    <w:p w14:paraId="63B7DD0D" w14:textId="77777777" w:rsidR="005A5991" w:rsidRPr="007A79B9" w:rsidRDefault="005A5991" w:rsidP="005A5991">
      <w:pPr>
        <w:rPr>
          <w:b/>
          <w:lang w:val="en-US" w:eastAsia="zh-CN"/>
        </w:rPr>
      </w:pPr>
      <w:r w:rsidRPr="007A79B9">
        <w:rPr>
          <w:b/>
          <w:lang w:val="en-US" w:eastAsia="zh-CN"/>
        </w:rPr>
        <w:t xml:space="preserve">Proposal </w:t>
      </w:r>
      <w:r>
        <w:rPr>
          <w:b/>
          <w:lang w:val="en-US" w:eastAsia="zh-CN"/>
        </w:rPr>
        <w:t>5</w:t>
      </w:r>
      <w:r w:rsidRPr="007A79B9">
        <w:rPr>
          <w:b/>
          <w:lang w:val="en-US" w:eastAsia="zh-CN"/>
        </w:rPr>
        <w:t xml:space="preserve">: RAN2 to </w:t>
      </w:r>
      <w:r>
        <w:rPr>
          <w:b/>
          <w:lang w:val="en-US" w:eastAsia="zh-CN"/>
        </w:rPr>
        <w:t>investigate the false wake-up issue for PWS transmission for WUS configuration in NB-IoT-NTN</w:t>
      </w:r>
      <w:r w:rsidRPr="007A79B9">
        <w:rPr>
          <w:b/>
          <w:lang w:val="en-US" w:eastAsia="zh-CN"/>
        </w:rPr>
        <w:t>.</w:t>
      </w:r>
    </w:p>
    <w:p w14:paraId="0D1F68D0" w14:textId="77777777" w:rsidR="005A5991" w:rsidRDefault="005A5991" w:rsidP="00381C82">
      <w:pPr>
        <w:rPr>
          <w:b/>
          <w:lang w:val="en-US"/>
        </w:rPr>
      </w:pPr>
    </w:p>
    <w:p w14:paraId="11F3B16B" w14:textId="77777777" w:rsidR="00381C82" w:rsidRPr="00173E7A" w:rsidRDefault="00381C82" w:rsidP="00381C82">
      <w:pPr>
        <w:rPr>
          <w:b/>
          <w:bCs/>
          <w:lang w:val="en-US" w:eastAsia="zh-CN"/>
        </w:rPr>
      </w:pP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Nokia/Ling Yu" w:date="2025-01-28T09:46:00Z" w:initials="LYu">
    <w:p w14:paraId="5F61D677" w14:textId="77777777" w:rsidR="0017582B" w:rsidRDefault="0017582B" w:rsidP="0017582B">
      <w:pPr>
        <w:pStyle w:val="CommentText"/>
      </w:pPr>
      <w:r>
        <w:rPr>
          <w:rStyle w:val="CommentReference"/>
        </w:rPr>
        <w:annotationRef/>
      </w:r>
      <w:r>
        <w:t>This sentence may be moved after Observation 4 if you are going to add more information on detailed solutions before Proposal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61D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561986" w16cex:dateUtc="2025-01-28T07:46:00Z">
    <w16cex:extLst>
      <w16:ext w16:uri="{CE6994B0-6A32-4C9F-8C6B-6E91EDA988CE}">
        <cr:reactions xmlns:cr="http://schemas.microsoft.com/office/comments/2020/reactions">
          <cr:reaction reactionType="1">
            <cr:reactionInfo dateUtc="2025-01-28T08:17:41Z">
              <cr:user userId="S::mads.lauridsen@nokia.com::973eae77-5b03-406b-a6fd-b7b308652dea" userProvider="AD" userName="Mads Lauridsen (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61D677" w16cid:durableId="655619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2D199" w14:textId="77777777" w:rsidR="00817DB4" w:rsidRDefault="00817DB4">
      <w:r>
        <w:separator/>
      </w:r>
    </w:p>
  </w:endnote>
  <w:endnote w:type="continuationSeparator" w:id="0">
    <w:p w14:paraId="24CC4AEE" w14:textId="77777777" w:rsidR="00817DB4" w:rsidRDefault="00817DB4">
      <w:r>
        <w:continuationSeparator/>
      </w:r>
    </w:p>
  </w:endnote>
  <w:endnote w:type="continuationNotice" w:id="1">
    <w:p w14:paraId="19E00619" w14:textId="77777777" w:rsidR="00817DB4" w:rsidRDefault="00817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2C5E" w14:textId="77777777" w:rsidR="00817DB4" w:rsidRDefault="00817DB4">
      <w:r>
        <w:separator/>
      </w:r>
    </w:p>
  </w:footnote>
  <w:footnote w:type="continuationSeparator" w:id="0">
    <w:p w14:paraId="3D3C9F3D" w14:textId="77777777" w:rsidR="00817DB4" w:rsidRDefault="00817DB4">
      <w:r>
        <w:continuationSeparator/>
      </w:r>
    </w:p>
  </w:footnote>
  <w:footnote w:type="continuationNotice" w:id="1">
    <w:p w14:paraId="2BE5383E" w14:textId="77777777" w:rsidR="00817DB4" w:rsidRDefault="00817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Ling Yu">
    <w15:presenceInfo w15:providerId="None" w15:userId="Nokia/Ling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06B2"/>
    <w:rsid w:val="000728FF"/>
    <w:rsid w:val="00073C9C"/>
    <w:rsid w:val="00076412"/>
    <w:rsid w:val="00080512"/>
    <w:rsid w:val="00090468"/>
    <w:rsid w:val="00094568"/>
    <w:rsid w:val="000A56A4"/>
    <w:rsid w:val="000B71F2"/>
    <w:rsid w:val="000B7BCF"/>
    <w:rsid w:val="000C522B"/>
    <w:rsid w:val="000D3DFC"/>
    <w:rsid w:val="000D58AB"/>
    <w:rsid w:val="00111175"/>
    <w:rsid w:val="00112F1A"/>
    <w:rsid w:val="0012610D"/>
    <w:rsid w:val="00137768"/>
    <w:rsid w:val="00141A40"/>
    <w:rsid w:val="00145075"/>
    <w:rsid w:val="00163A64"/>
    <w:rsid w:val="001741A0"/>
    <w:rsid w:val="0017582B"/>
    <w:rsid w:val="00175FA0"/>
    <w:rsid w:val="0018542A"/>
    <w:rsid w:val="00193FA9"/>
    <w:rsid w:val="00194CD0"/>
    <w:rsid w:val="001A156C"/>
    <w:rsid w:val="001B397D"/>
    <w:rsid w:val="001B49C9"/>
    <w:rsid w:val="001C23F4"/>
    <w:rsid w:val="001C4F79"/>
    <w:rsid w:val="001E7A4C"/>
    <w:rsid w:val="001F168B"/>
    <w:rsid w:val="001F39ED"/>
    <w:rsid w:val="001F7831"/>
    <w:rsid w:val="00200DFC"/>
    <w:rsid w:val="00204045"/>
    <w:rsid w:val="00205FC2"/>
    <w:rsid w:val="0020712B"/>
    <w:rsid w:val="0021716B"/>
    <w:rsid w:val="00217467"/>
    <w:rsid w:val="0022606D"/>
    <w:rsid w:val="00231728"/>
    <w:rsid w:val="00244A05"/>
    <w:rsid w:val="00250404"/>
    <w:rsid w:val="00256B74"/>
    <w:rsid w:val="00256E02"/>
    <w:rsid w:val="00257342"/>
    <w:rsid w:val="002610D8"/>
    <w:rsid w:val="00272386"/>
    <w:rsid w:val="002747EC"/>
    <w:rsid w:val="00281D61"/>
    <w:rsid w:val="002855BF"/>
    <w:rsid w:val="00290A7C"/>
    <w:rsid w:val="00291914"/>
    <w:rsid w:val="002B2988"/>
    <w:rsid w:val="002F0D22"/>
    <w:rsid w:val="003109E6"/>
    <w:rsid w:val="00311B17"/>
    <w:rsid w:val="00315FA8"/>
    <w:rsid w:val="003172AD"/>
    <w:rsid w:val="003172DC"/>
    <w:rsid w:val="00325AE3"/>
    <w:rsid w:val="00326069"/>
    <w:rsid w:val="0035462D"/>
    <w:rsid w:val="0036459E"/>
    <w:rsid w:val="00364B41"/>
    <w:rsid w:val="00381C82"/>
    <w:rsid w:val="00383096"/>
    <w:rsid w:val="0038783D"/>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06A0D"/>
    <w:rsid w:val="00416C7E"/>
    <w:rsid w:val="00416EC3"/>
    <w:rsid w:val="00446C3A"/>
    <w:rsid w:val="00465587"/>
    <w:rsid w:val="00471A49"/>
    <w:rsid w:val="00477455"/>
    <w:rsid w:val="00483950"/>
    <w:rsid w:val="00492BDB"/>
    <w:rsid w:val="004A1F7B"/>
    <w:rsid w:val="004C10FF"/>
    <w:rsid w:val="004C44D2"/>
    <w:rsid w:val="004D3578"/>
    <w:rsid w:val="004D380D"/>
    <w:rsid w:val="004E10D0"/>
    <w:rsid w:val="004E112F"/>
    <w:rsid w:val="004E213A"/>
    <w:rsid w:val="004E5E59"/>
    <w:rsid w:val="004E7553"/>
    <w:rsid w:val="004F4540"/>
    <w:rsid w:val="004F73A7"/>
    <w:rsid w:val="005012B6"/>
    <w:rsid w:val="00503171"/>
    <w:rsid w:val="00506C28"/>
    <w:rsid w:val="00512DC1"/>
    <w:rsid w:val="00531008"/>
    <w:rsid w:val="00534DA0"/>
    <w:rsid w:val="00537809"/>
    <w:rsid w:val="00541A65"/>
    <w:rsid w:val="005432D9"/>
    <w:rsid w:val="00543E6C"/>
    <w:rsid w:val="00551DB1"/>
    <w:rsid w:val="00557057"/>
    <w:rsid w:val="0056068C"/>
    <w:rsid w:val="00565087"/>
    <w:rsid w:val="0056573F"/>
    <w:rsid w:val="00571279"/>
    <w:rsid w:val="00573250"/>
    <w:rsid w:val="00575FC5"/>
    <w:rsid w:val="0059611F"/>
    <w:rsid w:val="005A13AB"/>
    <w:rsid w:val="005A49C6"/>
    <w:rsid w:val="005A5862"/>
    <w:rsid w:val="005A5991"/>
    <w:rsid w:val="005C0E92"/>
    <w:rsid w:val="005C7639"/>
    <w:rsid w:val="005C766E"/>
    <w:rsid w:val="005C7CD5"/>
    <w:rsid w:val="005D4C40"/>
    <w:rsid w:val="00611566"/>
    <w:rsid w:val="00635ED3"/>
    <w:rsid w:val="006369FF"/>
    <w:rsid w:val="0064075E"/>
    <w:rsid w:val="00646117"/>
    <w:rsid w:val="00646D99"/>
    <w:rsid w:val="00653905"/>
    <w:rsid w:val="00655320"/>
    <w:rsid w:val="00656910"/>
    <w:rsid w:val="006574C0"/>
    <w:rsid w:val="00670B9D"/>
    <w:rsid w:val="00696821"/>
    <w:rsid w:val="006A3D0B"/>
    <w:rsid w:val="006A41B2"/>
    <w:rsid w:val="006C66D8"/>
    <w:rsid w:val="006C6ECE"/>
    <w:rsid w:val="006D1E24"/>
    <w:rsid w:val="006D35DE"/>
    <w:rsid w:val="006D4181"/>
    <w:rsid w:val="006E1057"/>
    <w:rsid w:val="006E1417"/>
    <w:rsid w:val="006E3303"/>
    <w:rsid w:val="006F6A2C"/>
    <w:rsid w:val="007069DC"/>
    <w:rsid w:val="00710201"/>
    <w:rsid w:val="0072073A"/>
    <w:rsid w:val="00723B23"/>
    <w:rsid w:val="007342B5"/>
    <w:rsid w:val="00734923"/>
    <w:rsid w:val="00734A5B"/>
    <w:rsid w:val="00744B5D"/>
    <w:rsid w:val="00744E76"/>
    <w:rsid w:val="007541D1"/>
    <w:rsid w:val="00757D40"/>
    <w:rsid w:val="007662B5"/>
    <w:rsid w:val="00781F0F"/>
    <w:rsid w:val="0078727C"/>
    <w:rsid w:val="0079049D"/>
    <w:rsid w:val="00791DB0"/>
    <w:rsid w:val="00793DC5"/>
    <w:rsid w:val="00796823"/>
    <w:rsid w:val="007A2E55"/>
    <w:rsid w:val="007A4BC2"/>
    <w:rsid w:val="007B18D8"/>
    <w:rsid w:val="007C095F"/>
    <w:rsid w:val="007C2DD0"/>
    <w:rsid w:val="007C2F62"/>
    <w:rsid w:val="007D59E3"/>
    <w:rsid w:val="007F0E18"/>
    <w:rsid w:val="007F2E08"/>
    <w:rsid w:val="008024FA"/>
    <w:rsid w:val="008028A4"/>
    <w:rsid w:val="00807BDE"/>
    <w:rsid w:val="00813245"/>
    <w:rsid w:val="00817DB4"/>
    <w:rsid w:val="00832BE8"/>
    <w:rsid w:val="00840DE0"/>
    <w:rsid w:val="00847CD0"/>
    <w:rsid w:val="008607A8"/>
    <w:rsid w:val="0086354A"/>
    <w:rsid w:val="008768CA"/>
    <w:rsid w:val="00877EF9"/>
    <w:rsid w:val="00880559"/>
    <w:rsid w:val="00886C53"/>
    <w:rsid w:val="008B5306"/>
    <w:rsid w:val="008B549E"/>
    <w:rsid w:val="008B54E8"/>
    <w:rsid w:val="008B6932"/>
    <w:rsid w:val="008C03A5"/>
    <w:rsid w:val="008C2E2A"/>
    <w:rsid w:val="008C3057"/>
    <w:rsid w:val="008D0C8C"/>
    <w:rsid w:val="008D2E4D"/>
    <w:rsid w:val="008D3112"/>
    <w:rsid w:val="008E6234"/>
    <w:rsid w:val="008F396F"/>
    <w:rsid w:val="008F3DCD"/>
    <w:rsid w:val="0090271F"/>
    <w:rsid w:val="00902DB9"/>
    <w:rsid w:val="0090466A"/>
    <w:rsid w:val="00905E5A"/>
    <w:rsid w:val="00910946"/>
    <w:rsid w:val="00911F55"/>
    <w:rsid w:val="0092292F"/>
    <w:rsid w:val="00923655"/>
    <w:rsid w:val="009248C6"/>
    <w:rsid w:val="009339CB"/>
    <w:rsid w:val="00936071"/>
    <w:rsid w:val="009376CD"/>
    <w:rsid w:val="00940212"/>
    <w:rsid w:val="00942EC2"/>
    <w:rsid w:val="00947B4D"/>
    <w:rsid w:val="0095248C"/>
    <w:rsid w:val="00957ED7"/>
    <w:rsid w:val="00961814"/>
    <w:rsid w:val="00961B32"/>
    <w:rsid w:val="00962509"/>
    <w:rsid w:val="00970DB3"/>
    <w:rsid w:val="00974BB0"/>
    <w:rsid w:val="00975BCD"/>
    <w:rsid w:val="009818A2"/>
    <w:rsid w:val="0098204F"/>
    <w:rsid w:val="009861A5"/>
    <w:rsid w:val="009928A9"/>
    <w:rsid w:val="009A0AF3"/>
    <w:rsid w:val="009B07CD"/>
    <w:rsid w:val="009B41C0"/>
    <w:rsid w:val="009C19E9"/>
    <w:rsid w:val="009D2FD1"/>
    <w:rsid w:val="009D4729"/>
    <w:rsid w:val="009D74A6"/>
    <w:rsid w:val="009E0E87"/>
    <w:rsid w:val="00A10F02"/>
    <w:rsid w:val="00A17176"/>
    <w:rsid w:val="00A204CA"/>
    <w:rsid w:val="00A209D6"/>
    <w:rsid w:val="00A22738"/>
    <w:rsid w:val="00A22CAA"/>
    <w:rsid w:val="00A320DA"/>
    <w:rsid w:val="00A36F5F"/>
    <w:rsid w:val="00A430EC"/>
    <w:rsid w:val="00A45F28"/>
    <w:rsid w:val="00A53724"/>
    <w:rsid w:val="00A54B2B"/>
    <w:rsid w:val="00A703B6"/>
    <w:rsid w:val="00A82346"/>
    <w:rsid w:val="00A9671C"/>
    <w:rsid w:val="00AA1553"/>
    <w:rsid w:val="00AA5F08"/>
    <w:rsid w:val="00AB3826"/>
    <w:rsid w:val="00AC46B4"/>
    <w:rsid w:val="00AD7E7C"/>
    <w:rsid w:val="00AF4872"/>
    <w:rsid w:val="00B05380"/>
    <w:rsid w:val="00B05962"/>
    <w:rsid w:val="00B14B62"/>
    <w:rsid w:val="00B15449"/>
    <w:rsid w:val="00B16C2F"/>
    <w:rsid w:val="00B27303"/>
    <w:rsid w:val="00B47FD1"/>
    <w:rsid w:val="00B506AB"/>
    <w:rsid w:val="00B516BB"/>
    <w:rsid w:val="00B5751D"/>
    <w:rsid w:val="00B669E9"/>
    <w:rsid w:val="00B7538C"/>
    <w:rsid w:val="00B84DB2"/>
    <w:rsid w:val="00BC3555"/>
    <w:rsid w:val="00BD1B67"/>
    <w:rsid w:val="00BD3691"/>
    <w:rsid w:val="00BE187B"/>
    <w:rsid w:val="00BF0C4F"/>
    <w:rsid w:val="00C07241"/>
    <w:rsid w:val="00C12B51"/>
    <w:rsid w:val="00C24650"/>
    <w:rsid w:val="00C25465"/>
    <w:rsid w:val="00C31806"/>
    <w:rsid w:val="00C33079"/>
    <w:rsid w:val="00C348BA"/>
    <w:rsid w:val="00C55A12"/>
    <w:rsid w:val="00C6424F"/>
    <w:rsid w:val="00C6553E"/>
    <w:rsid w:val="00C6626E"/>
    <w:rsid w:val="00C83A13"/>
    <w:rsid w:val="00C86F10"/>
    <w:rsid w:val="00C9068C"/>
    <w:rsid w:val="00C92967"/>
    <w:rsid w:val="00CA2435"/>
    <w:rsid w:val="00CA3137"/>
    <w:rsid w:val="00CA3D0C"/>
    <w:rsid w:val="00CA48E0"/>
    <w:rsid w:val="00CA654B"/>
    <w:rsid w:val="00CB183F"/>
    <w:rsid w:val="00CB5A98"/>
    <w:rsid w:val="00CB72B8"/>
    <w:rsid w:val="00CD0BA8"/>
    <w:rsid w:val="00CD4C7B"/>
    <w:rsid w:val="00CD58FE"/>
    <w:rsid w:val="00CF29BB"/>
    <w:rsid w:val="00D01AFA"/>
    <w:rsid w:val="00D134C3"/>
    <w:rsid w:val="00D339C6"/>
    <w:rsid w:val="00D33BE3"/>
    <w:rsid w:val="00D3454E"/>
    <w:rsid w:val="00D3792D"/>
    <w:rsid w:val="00D436D1"/>
    <w:rsid w:val="00D54820"/>
    <w:rsid w:val="00D55E47"/>
    <w:rsid w:val="00D62E19"/>
    <w:rsid w:val="00D6524B"/>
    <w:rsid w:val="00D67CD1"/>
    <w:rsid w:val="00D738D6"/>
    <w:rsid w:val="00D80795"/>
    <w:rsid w:val="00D854BE"/>
    <w:rsid w:val="00D87E00"/>
    <w:rsid w:val="00D9134D"/>
    <w:rsid w:val="00D96D11"/>
    <w:rsid w:val="00DA1415"/>
    <w:rsid w:val="00DA3FB0"/>
    <w:rsid w:val="00DA7A03"/>
    <w:rsid w:val="00DB0DB8"/>
    <w:rsid w:val="00DB1818"/>
    <w:rsid w:val="00DC309B"/>
    <w:rsid w:val="00DC4DA2"/>
    <w:rsid w:val="00DC5261"/>
    <w:rsid w:val="00DD700E"/>
    <w:rsid w:val="00DE0075"/>
    <w:rsid w:val="00DE0D9A"/>
    <w:rsid w:val="00DE25D2"/>
    <w:rsid w:val="00DF7C20"/>
    <w:rsid w:val="00E038FB"/>
    <w:rsid w:val="00E321A0"/>
    <w:rsid w:val="00E42A2B"/>
    <w:rsid w:val="00E466DE"/>
    <w:rsid w:val="00E46C08"/>
    <w:rsid w:val="00E471CF"/>
    <w:rsid w:val="00E62835"/>
    <w:rsid w:val="00E6480E"/>
    <w:rsid w:val="00E77645"/>
    <w:rsid w:val="00E77712"/>
    <w:rsid w:val="00E804AF"/>
    <w:rsid w:val="00E81077"/>
    <w:rsid w:val="00E81E5A"/>
    <w:rsid w:val="00E83697"/>
    <w:rsid w:val="00E859B6"/>
    <w:rsid w:val="00EA66C9"/>
    <w:rsid w:val="00EB1AAD"/>
    <w:rsid w:val="00EB5D32"/>
    <w:rsid w:val="00EB6D09"/>
    <w:rsid w:val="00EC4A25"/>
    <w:rsid w:val="00EF612C"/>
    <w:rsid w:val="00F025A2"/>
    <w:rsid w:val="00F036E9"/>
    <w:rsid w:val="00F07388"/>
    <w:rsid w:val="00F1322B"/>
    <w:rsid w:val="00F2026E"/>
    <w:rsid w:val="00F2210A"/>
    <w:rsid w:val="00F31372"/>
    <w:rsid w:val="00F37743"/>
    <w:rsid w:val="00F40C2F"/>
    <w:rsid w:val="00F42493"/>
    <w:rsid w:val="00F54A3D"/>
    <w:rsid w:val="00F54CB0"/>
    <w:rsid w:val="00F579CD"/>
    <w:rsid w:val="00F63B91"/>
    <w:rsid w:val="00F653B8"/>
    <w:rsid w:val="00F71B89"/>
    <w:rsid w:val="00F7353C"/>
    <w:rsid w:val="00F76CA3"/>
    <w:rsid w:val="00F76F8F"/>
    <w:rsid w:val="00F87048"/>
    <w:rsid w:val="00F87257"/>
    <w:rsid w:val="00F941DF"/>
    <w:rsid w:val="00FA1266"/>
    <w:rsid w:val="00FB0C19"/>
    <w:rsid w:val="00FB36FA"/>
    <w:rsid w:val="00FC1192"/>
    <w:rsid w:val="00FC3BF4"/>
    <w:rsid w:val="00FD4BBB"/>
    <w:rsid w:val="00FE106D"/>
    <w:rsid w:val="00FE251B"/>
    <w:rsid w:val="00FF5FAE"/>
    <w:rsid w:val="00FF6B3F"/>
    <w:rsid w:val="3A90A29A"/>
    <w:rsid w:val="6A0C4F3E"/>
    <w:rsid w:val="76D5B6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557057"/>
    <w:rPr>
      <w:rFonts w:ascii="Arial" w:hAnsi="Arial"/>
      <w:sz w:val="32"/>
      <w:lang w:eastAsia="en-US"/>
    </w:rPr>
  </w:style>
  <w:style w:type="table" w:styleId="TableGrid">
    <w:name w:val="Table Grid"/>
    <w:basedOn w:val="TableNormal"/>
    <w:rsid w:val="00AA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B1AAD"/>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6C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RBI5PAMIO524-1616901215-37154</_dlc_DocId>
    <_dlc_DocIdUrl xmlns="71c5aaf6-e6ce-465b-b873-5148d2a4c105">
      <Url>https://nokia.sharepoint.com/sites/gxp/_layouts/15/DocIdRedir.aspx?ID=RBI5PAMIO524-1616901215-37154</Url>
      <Description>RBI5PAMIO524-1616901215-37154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3</cp:revision>
  <dcterms:created xsi:type="dcterms:W3CDTF">2025-02-07T04:53:00Z</dcterms:created>
  <dcterms:modified xsi:type="dcterms:W3CDTF">2025-02-07T04:58:00Z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e9b3c924-7c71-4726-a1a0-b0d451923702</vt:lpwstr>
  </property>
</Properties>
</file>